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olors1.xml" ContentType="application/vnd.ms-office.chartcolorstyle+xml"/>
  <Override PartName="/word/charts/colors2.xml" ContentType="application/vnd.ms-office.chartcolorstyle+xml"/>
  <Override PartName="/word/charts/colors3.xml" ContentType="application/vnd.ms-office.chartcolorstyle+xml"/>
  <Override PartName="/word/charts/colors4.xml" ContentType="application/vnd.ms-office.chartcolorstyle+xml"/>
  <Override PartName="/word/charts/colors5.xml" ContentType="application/vnd.ms-office.chartcolorstyle+xml"/>
  <Override PartName="/word/charts/colors6.xml" ContentType="application/vnd.ms-office.chartcolorstyle+xml"/>
  <Override PartName="/word/charts/style1.xml" ContentType="application/vnd.ms-office.chartstyle+xml"/>
  <Override PartName="/word/charts/style2.xml" ContentType="application/vnd.ms-office.chartstyle+xml"/>
  <Override PartName="/word/charts/style3.xml" ContentType="application/vnd.ms-office.chartstyle+xml"/>
  <Override PartName="/word/charts/style4.xml" ContentType="application/vnd.ms-office.chartstyle+xml"/>
  <Override PartName="/word/charts/style5.xml" ContentType="application/vnd.ms-office.chartstyle+xml"/>
  <Override PartName="/word/charts/style6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4AA960">
      <w:pPr>
        <w:ind w:firstLine="360"/>
        <w:jc w:val="center"/>
        <w:rPr>
          <w:rFonts w:ascii="Times New Roman" w:hAnsi="Times New Roman" w:eastAsia="方正小标宋简体" w:cs="Times New Roman"/>
          <w:color w:val="auto"/>
          <w:sz w:val="36"/>
          <w:szCs w:val="36"/>
        </w:rPr>
      </w:pPr>
      <w:bookmarkStart w:id="0" w:name="OLE_LINK1"/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佳木斯市202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年国民经济和社会发展统计公报</w:t>
      </w:r>
    </w:p>
    <w:p w14:paraId="23773B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ascii="Times New Roman" w:hAnsi="Times New Roman" w:eastAsia="楷体" w:cs="Times New Roman"/>
          <w:color w:val="auto"/>
          <w:sz w:val="28"/>
          <w:szCs w:val="28"/>
        </w:rPr>
      </w:pPr>
      <w:r>
        <w:rPr>
          <w:rFonts w:ascii="Times New Roman" w:hAnsi="Times New Roman" w:eastAsia="楷体" w:cs="Times New Roman"/>
          <w:color w:val="auto"/>
          <w:sz w:val="28"/>
          <w:szCs w:val="28"/>
        </w:rPr>
        <w:t>佳木斯市统计局</w:t>
      </w:r>
    </w:p>
    <w:p w14:paraId="4C9439AE">
      <w:pPr>
        <w:jc w:val="center"/>
        <w:rPr>
          <w:rFonts w:ascii="Times New Roman" w:hAnsi="Times New Roman" w:eastAsia="楷体" w:cs="Times New Roman"/>
          <w:color w:val="auto"/>
          <w:sz w:val="28"/>
          <w:szCs w:val="28"/>
        </w:rPr>
      </w:pPr>
      <w:r>
        <w:rPr>
          <w:rFonts w:ascii="Times New Roman" w:hAnsi="Times New Roman" w:eastAsia="楷体" w:cs="Times New Roman"/>
          <w:color w:val="auto"/>
          <w:sz w:val="28"/>
          <w:szCs w:val="28"/>
        </w:rPr>
        <w:t>国家统计局佳木斯调查队</w:t>
      </w:r>
    </w:p>
    <w:p w14:paraId="5FA954C0">
      <w:pPr>
        <w:jc w:val="center"/>
        <w:rPr>
          <w:rFonts w:ascii="Times New Roman" w:hAnsi="Times New Roman" w:eastAsia="楷体" w:cs="Times New Roman"/>
          <w:color w:val="auto"/>
          <w:sz w:val="28"/>
          <w:szCs w:val="28"/>
        </w:rPr>
      </w:pPr>
      <w:r>
        <w:rPr>
          <w:rFonts w:ascii="Times New Roman" w:hAnsi="Times New Roman" w:eastAsia="楷体" w:cs="Times New Roman"/>
          <w:color w:val="auto"/>
          <w:sz w:val="28"/>
          <w:szCs w:val="28"/>
        </w:rPr>
        <w:t>202</w:t>
      </w:r>
      <w:r>
        <w:rPr>
          <w:rFonts w:hint="eastAsia" w:ascii="Times New Roman" w:hAnsi="Times New Roman" w:eastAsia="楷体" w:cs="Times New Roman"/>
          <w:color w:val="auto"/>
          <w:sz w:val="28"/>
          <w:szCs w:val="28"/>
          <w:lang w:val="en-US" w:eastAsia="zh-CN"/>
        </w:rPr>
        <w:t>5</w:t>
      </w:r>
      <w:r>
        <w:rPr>
          <w:rFonts w:ascii="Times New Roman" w:hAnsi="Times New Roman" w:eastAsia="楷体" w:cs="Times New Roman"/>
          <w:color w:val="auto"/>
          <w:sz w:val="28"/>
          <w:szCs w:val="28"/>
        </w:rPr>
        <w:t>年</w:t>
      </w:r>
      <w:r>
        <w:rPr>
          <w:rFonts w:hint="eastAsia" w:ascii="Times New Roman" w:hAnsi="Times New Roman" w:eastAsia="楷体" w:cs="Times New Roman"/>
          <w:color w:val="auto"/>
          <w:sz w:val="28"/>
          <w:szCs w:val="28"/>
          <w:lang w:val="en-US" w:eastAsia="zh-CN"/>
        </w:rPr>
        <w:t>3</w:t>
      </w:r>
      <w:r>
        <w:rPr>
          <w:rFonts w:ascii="Times New Roman" w:hAnsi="Times New Roman" w:eastAsia="楷体" w:cs="Times New Roman"/>
          <w:color w:val="auto"/>
          <w:sz w:val="28"/>
          <w:szCs w:val="28"/>
        </w:rPr>
        <w:t>月</w:t>
      </w:r>
    </w:p>
    <w:p w14:paraId="3ADE2813">
      <w:pPr>
        <w:jc w:val="center"/>
        <w:rPr>
          <w:rFonts w:ascii="Times New Roman" w:hAnsi="Times New Roman" w:eastAsia="楷体" w:cs="Times New Roman"/>
          <w:color w:val="FF0000"/>
          <w:sz w:val="28"/>
          <w:szCs w:val="28"/>
        </w:rPr>
      </w:pPr>
    </w:p>
    <w:p w14:paraId="181A177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2025年，在市委、市政府坚强领导下，全市坚持以习近平新时代中国特色社会主义思想为指导，全面贯彻党的二十大和二十届历次全会精神，深入落实习近平总书记视察我省重要讲话重要指示精神，紧扣“3510”总体工作布局，全市经济运行持续向好、发展质效稳步提升，中国式现代化佳木斯实践扎实推进。</w:t>
      </w:r>
    </w:p>
    <w:p w14:paraId="3F6AC6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70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一、综合</w:t>
      </w:r>
    </w:p>
    <w:p w14:paraId="29BCF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初步核算，全市实现地区生产总值1052.3亿元，按不变价格计算，比上年增长4.7%。其中第一产业实现增加值425.2亿元，增长3.3%；第二产业实现增加值94.7亿元，增长3.8%；第三产业实现增加值532.3亿元，增长6.3%。三次产业增加值占地区生产总值比重为40.4:9.0:50.6。分季度看，一季度全市地区生产总值同比增长5.7%；上半年增长7.2%；前三季度增长6.6%。</w:t>
      </w:r>
    </w:p>
    <w:p w14:paraId="37908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全年城镇居民人均可支配收入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37239.0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比上年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增长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4.6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%。农村居民人均可支配收入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22040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比上年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增长6.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%。</w:t>
      </w:r>
    </w:p>
    <w:p w14:paraId="1592C7F2">
      <w:pPr>
        <w:jc w:val="center"/>
        <w:rPr>
          <w:color w:val="FF0000"/>
        </w:rPr>
      </w:pPr>
    </w:p>
    <w:p w14:paraId="0AF25CCD">
      <w:pPr>
        <w:jc w:val="center"/>
        <w:rPr>
          <w:color w:val="FF0000"/>
        </w:rPr>
      </w:pPr>
    </w:p>
    <w:p w14:paraId="70F2ADB6">
      <w:pPr>
        <w:bidi w:val="0"/>
        <w:jc w:val="center"/>
        <w:rPr>
          <w:color w:val="FF0000"/>
        </w:rPr>
      </w:pPr>
      <w:r>
        <w:drawing>
          <wp:inline distT="0" distB="0" distL="114300" distR="114300">
            <wp:extent cx="4826000" cy="2743200"/>
            <wp:effectExtent l="0" t="0" r="12700" b="0"/>
            <wp:docPr id="3" name="图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2BB994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00" w:after="313" w:afterLines="100"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年末全市户籍总人口为215.9万人，比上年减少5.4万人。其中，城镇人口110.8万人，户籍人口城镇化率51.3%。全市人口中，出生人口6700人，比上年减少330人；死亡52843人，比上年增加38057人。</w:t>
      </w:r>
    </w:p>
    <w:tbl>
      <w:tblPr>
        <w:tblStyle w:val="10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8"/>
        <w:gridCol w:w="1991"/>
        <w:gridCol w:w="1950"/>
      </w:tblGrid>
      <w:tr w14:paraId="1006F4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tblHeader/>
          <w:jc w:val="center"/>
        </w:trPr>
        <w:tc>
          <w:tcPr>
            <w:tcW w:w="8219" w:type="dxa"/>
            <w:gridSpan w:val="3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5A7BA49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0"/>
                <w:szCs w:val="30"/>
                <w:shd w:val="clear" w:color="auto" w:fill="FFFFFF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0"/>
                <w:szCs w:val="30"/>
                <w:shd w:val="clear" w:color="auto" w:fill="FFFFFF"/>
                <w:lang w:val="en-US" w:eastAsia="zh-CN"/>
              </w:rPr>
              <w:t>5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0"/>
                <w:szCs w:val="30"/>
                <w:shd w:val="clear" w:color="auto" w:fill="FFFFFF"/>
              </w:rPr>
              <w:t>年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0"/>
                <w:szCs w:val="30"/>
                <w:shd w:val="clear" w:color="auto" w:fill="FFFFFF"/>
                <w:lang w:eastAsia="zh-CN"/>
              </w:rPr>
              <w:t>年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0"/>
                <w:szCs w:val="30"/>
                <w:shd w:val="clear" w:color="auto" w:fill="FFFFFF"/>
              </w:rPr>
              <w:t>末全市户籍人口数及其构成</w:t>
            </w:r>
          </w:p>
        </w:tc>
      </w:tr>
      <w:tr w14:paraId="07ADF1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tblHeader/>
          <w:jc w:val="center"/>
        </w:trPr>
        <w:tc>
          <w:tcPr>
            <w:tcW w:w="427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623C9C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指  标</w:t>
            </w:r>
          </w:p>
        </w:tc>
        <w:tc>
          <w:tcPr>
            <w:tcW w:w="199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413301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年末数（万人）</w:t>
            </w:r>
          </w:p>
        </w:tc>
        <w:tc>
          <w:tcPr>
            <w:tcW w:w="195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2BEB3F6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比重（%）</w:t>
            </w:r>
          </w:p>
        </w:tc>
      </w:tr>
      <w:tr w14:paraId="55A44A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427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EFDA54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全市户籍总人口</w:t>
            </w:r>
          </w:p>
        </w:tc>
        <w:tc>
          <w:tcPr>
            <w:tcW w:w="199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31ADE7A1">
            <w:pPr>
              <w:widowControl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215.9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2D32BFBA">
            <w:pPr>
              <w:widowControl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100.0</w:t>
            </w:r>
          </w:p>
        </w:tc>
      </w:tr>
      <w:tr w14:paraId="714C5D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427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233040">
            <w:pPr>
              <w:widowControl/>
              <w:ind w:firstLine="240" w:firstLine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其中：城镇</w:t>
            </w:r>
          </w:p>
        </w:tc>
        <w:tc>
          <w:tcPr>
            <w:tcW w:w="199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420D54BB">
            <w:pPr>
              <w:widowControl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110.8</w:t>
            </w:r>
          </w:p>
        </w:tc>
        <w:tc>
          <w:tcPr>
            <w:tcW w:w="195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5016368C">
            <w:pPr>
              <w:widowControl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51.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</w:p>
        </w:tc>
      </w:tr>
      <w:tr w14:paraId="09B232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427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0F347A">
            <w:pPr>
              <w:widowControl/>
              <w:ind w:firstLine="240" w:firstLine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 xml:space="preserve">      乡村</w:t>
            </w:r>
          </w:p>
        </w:tc>
        <w:tc>
          <w:tcPr>
            <w:tcW w:w="199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20325DF4">
            <w:pPr>
              <w:widowControl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10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5.0</w:t>
            </w:r>
          </w:p>
        </w:tc>
        <w:tc>
          <w:tcPr>
            <w:tcW w:w="195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2E8F34BA">
            <w:pPr>
              <w:widowControl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48.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7</w:t>
            </w:r>
          </w:p>
        </w:tc>
      </w:tr>
      <w:tr w14:paraId="1DC29D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427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78F350">
            <w:pPr>
              <w:widowControl/>
              <w:ind w:firstLine="240" w:firstLine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其中：男性</w:t>
            </w:r>
          </w:p>
        </w:tc>
        <w:tc>
          <w:tcPr>
            <w:tcW w:w="199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413710BC">
            <w:pPr>
              <w:widowControl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107.8</w:t>
            </w:r>
          </w:p>
        </w:tc>
        <w:tc>
          <w:tcPr>
            <w:tcW w:w="195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0553B0A4">
            <w:pPr>
              <w:widowControl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50.0</w:t>
            </w:r>
          </w:p>
        </w:tc>
      </w:tr>
      <w:tr w14:paraId="1A4805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427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6892FB">
            <w:pPr>
              <w:widowControl/>
              <w:ind w:firstLine="240" w:firstLine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 xml:space="preserve">      女性</w:t>
            </w:r>
          </w:p>
        </w:tc>
        <w:tc>
          <w:tcPr>
            <w:tcW w:w="199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54F4867B">
            <w:pPr>
              <w:widowControl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108.0</w:t>
            </w:r>
          </w:p>
        </w:tc>
        <w:tc>
          <w:tcPr>
            <w:tcW w:w="195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42BF5CD3">
            <w:pPr>
              <w:widowControl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50.0</w:t>
            </w:r>
          </w:p>
        </w:tc>
      </w:tr>
      <w:tr w14:paraId="4C72D5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427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C73338">
            <w:pPr>
              <w:widowControl/>
              <w:ind w:firstLine="240" w:firstLine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其中：0-17岁（含不满18周岁）</w:t>
            </w:r>
          </w:p>
        </w:tc>
        <w:tc>
          <w:tcPr>
            <w:tcW w:w="199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156C1933">
            <w:pPr>
              <w:widowControl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21.7</w:t>
            </w:r>
          </w:p>
        </w:tc>
        <w:tc>
          <w:tcPr>
            <w:tcW w:w="195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563E7A6B">
            <w:pPr>
              <w:widowControl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3E5D70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427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70B7F8">
            <w:pPr>
              <w:widowControl/>
              <w:ind w:firstLine="960" w:firstLineChars="400"/>
              <w:jc w:val="left"/>
              <w:rPr>
                <w:rFonts w:hint="eastAsia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18-34岁（含不满35周岁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99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0CAD8C2B">
            <w:pPr>
              <w:widowControl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35.0</w:t>
            </w:r>
          </w:p>
        </w:tc>
        <w:tc>
          <w:tcPr>
            <w:tcW w:w="195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26E72852">
            <w:pPr>
              <w:widowControl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  <w:t>6.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</w:tr>
      <w:tr w14:paraId="1845E4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427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1561F9">
            <w:pPr>
              <w:widowControl/>
              <w:ind w:firstLine="960" w:firstLineChars="4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35-59岁（含不满60周岁）</w:t>
            </w:r>
          </w:p>
        </w:tc>
        <w:tc>
          <w:tcPr>
            <w:tcW w:w="199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430E0DDB">
            <w:pPr>
              <w:widowControl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96.1</w:t>
            </w:r>
          </w:p>
        </w:tc>
        <w:tc>
          <w:tcPr>
            <w:tcW w:w="195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229D38A0">
            <w:pPr>
              <w:widowControl/>
              <w:jc w:val="right"/>
              <w:rPr>
                <w:rFonts w:hint="default" w:ascii="Times New Roman" w:hAnsi="Times New Roman" w:cs="Times New Roman" w:eastAsiaTheme="minorEastAsia"/>
                <w:color w:val="FF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44.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4</w:t>
            </w:r>
          </w:p>
        </w:tc>
      </w:tr>
      <w:tr w14:paraId="48F037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4278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2C8B1C">
            <w:pPr>
              <w:widowControl/>
              <w:ind w:firstLine="960" w:firstLineChars="4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60周岁以上</w:t>
            </w:r>
          </w:p>
        </w:tc>
        <w:tc>
          <w:tcPr>
            <w:tcW w:w="1991" w:type="dxa"/>
            <w:tcBorders>
              <w:top w:val="nil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26DDEBB5">
            <w:pPr>
              <w:widowControl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63.8</w:t>
            </w:r>
          </w:p>
        </w:tc>
        <w:tc>
          <w:tcPr>
            <w:tcW w:w="1950" w:type="dxa"/>
            <w:tcBorders>
              <w:top w:val="nil"/>
              <w:left w:val="single" w:color="auto" w:sz="4" w:space="0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2BD25A20">
            <w:pPr>
              <w:widowControl/>
              <w:jc w:val="right"/>
              <w:rPr>
                <w:rFonts w:hint="default" w:ascii="Times New Roman" w:hAnsi="Times New Roman" w:cs="Times New Roman" w:eastAsiaTheme="minorEastAsia"/>
                <w:color w:val="FF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9.4</w:t>
            </w:r>
          </w:p>
        </w:tc>
      </w:tr>
    </w:tbl>
    <w:p w14:paraId="2E4F5B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全年全市实现新增就业人员25369人，失业人员实现再就业18848人，就业困难人员就业5473人。开展就业技能和创业培训人数1.6万人次。</w:t>
      </w:r>
    </w:p>
    <w:p w14:paraId="5CD387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全年居民消费价格总水平比上年增长0.1%。</w:t>
      </w:r>
    </w:p>
    <w:tbl>
      <w:tblPr>
        <w:tblStyle w:val="10"/>
        <w:tblW w:w="8234" w:type="dxa"/>
        <w:jc w:val="center"/>
        <w:tblBorders>
          <w:top w:val="none" w:color="auto" w:sz="0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1"/>
        <w:gridCol w:w="2623"/>
      </w:tblGrid>
      <w:tr w14:paraId="71DC7B14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tblHeader/>
          <w:jc w:val="center"/>
        </w:trPr>
        <w:tc>
          <w:tcPr>
            <w:tcW w:w="8234" w:type="dxa"/>
            <w:gridSpan w:val="2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EDE6346">
            <w:pPr>
              <w:ind w:firstLine="600" w:firstLineChars="200"/>
              <w:jc w:val="center"/>
              <w:rPr>
                <w:rFonts w:ascii="Times New Roman" w:hAnsi="Times New Roman" w:eastAsia="方正小标宋简体" w:cs="宋体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sz w:val="30"/>
                <w:szCs w:val="30"/>
                <w:shd w:val="clear" w:color="auto" w:fill="FFFFFF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sz w:val="30"/>
                <w:szCs w:val="30"/>
                <w:shd w:val="clear" w:color="auto" w:fill="FFFFFF"/>
                <w:lang w:val="en-US" w:eastAsia="zh-CN"/>
              </w:rPr>
              <w:t>5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sz w:val="30"/>
                <w:szCs w:val="30"/>
                <w:shd w:val="clear" w:color="auto" w:fill="FFFFFF"/>
              </w:rPr>
              <w:t>年全市八大类居民消费价格指数</w:t>
            </w:r>
          </w:p>
        </w:tc>
      </w:tr>
      <w:tr w14:paraId="02F389B3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5611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262927B">
            <w:pPr>
              <w:widowControl/>
              <w:ind w:firstLine="240" w:firstLineChars="10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指  标</w:t>
            </w:r>
          </w:p>
        </w:tc>
        <w:tc>
          <w:tcPr>
            <w:tcW w:w="2623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AA6A2BF">
            <w:pPr>
              <w:widowControl/>
              <w:ind w:firstLine="240" w:firstLineChars="10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价格指数</w:t>
            </w:r>
          </w:p>
        </w:tc>
      </w:tr>
      <w:tr w14:paraId="49F6C852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61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95F5F82">
            <w:pPr>
              <w:widowControl/>
              <w:ind w:firstLine="240" w:firstLine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居民消费价格指数</w:t>
            </w:r>
          </w:p>
        </w:tc>
        <w:tc>
          <w:tcPr>
            <w:tcW w:w="262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567" w:type="dxa"/>
            </w:tcMar>
            <w:vAlign w:val="center"/>
          </w:tcPr>
          <w:p w14:paraId="25AB5604">
            <w:pPr>
              <w:widowControl/>
              <w:ind w:firstLine="240" w:firstLineChars="10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0.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</w:tr>
      <w:tr w14:paraId="60740F05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6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7B17A3">
            <w:pPr>
              <w:widowControl/>
              <w:ind w:firstLine="240" w:firstLine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食品烟酒</w:t>
            </w:r>
          </w:p>
        </w:tc>
        <w:tc>
          <w:tcPr>
            <w:tcW w:w="262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567" w:type="dxa"/>
            </w:tcMar>
            <w:vAlign w:val="center"/>
          </w:tcPr>
          <w:p w14:paraId="14A89B83">
            <w:pPr>
              <w:widowControl/>
              <w:ind w:firstLine="240" w:firstLineChars="10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8</w:t>
            </w:r>
          </w:p>
        </w:tc>
      </w:tr>
      <w:tr w14:paraId="49A21F5B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6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F5AFDD">
            <w:pPr>
              <w:widowControl/>
              <w:ind w:firstLine="240" w:firstLine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衣着</w:t>
            </w:r>
          </w:p>
        </w:tc>
        <w:tc>
          <w:tcPr>
            <w:tcW w:w="262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567" w:type="dxa"/>
            </w:tcMar>
            <w:vAlign w:val="center"/>
          </w:tcPr>
          <w:p w14:paraId="24E21934">
            <w:pPr>
              <w:widowControl/>
              <w:ind w:firstLine="240" w:firstLineChars="10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2.9</w:t>
            </w:r>
          </w:p>
        </w:tc>
      </w:tr>
      <w:tr w14:paraId="5192A276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6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CBCD68">
            <w:pPr>
              <w:widowControl/>
              <w:ind w:firstLine="240" w:firstLine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居住</w:t>
            </w:r>
          </w:p>
        </w:tc>
        <w:tc>
          <w:tcPr>
            <w:tcW w:w="262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567" w:type="dxa"/>
            </w:tcMar>
            <w:vAlign w:val="center"/>
          </w:tcPr>
          <w:p w14:paraId="7A760830">
            <w:pPr>
              <w:widowControl/>
              <w:ind w:firstLine="240" w:firstLineChars="10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0.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6</w:t>
            </w:r>
          </w:p>
        </w:tc>
      </w:tr>
      <w:tr w14:paraId="43E4A841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6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BAD480">
            <w:pPr>
              <w:widowControl/>
              <w:ind w:firstLine="240" w:firstLine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生活用品和服务</w:t>
            </w:r>
          </w:p>
        </w:tc>
        <w:tc>
          <w:tcPr>
            <w:tcW w:w="262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567" w:type="dxa"/>
            </w:tcMar>
            <w:vAlign w:val="center"/>
          </w:tcPr>
          <w:p w14:paraId="3DAFBE93">
            <w:pPr>
              <w:widowControl/>
              <w:ind w:firstLine="240" w:firstLineChars="10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 1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</w:p>
        </w:tc>
      </w:tr>
      <w:tr w14:paraId="7CFEC547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6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7B5A3C">
            <w:pPr>
              <w:widowControl/>
              <w:ind w:firstLine="240" w:firstLine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交通和通信</w:t>
            </w:r>
          </w:p>
        </w:tc>
        <w:tc>
          <w:tcPr>
            <w:tcW w:w="262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567" w:type="dxa"/>
            </w:tcMar>
            <w:vAlign w:val="center"/>
          </w:tcPr>
          <w:p w14:paraId="40EA692D">
            <w:pPr>
              <w:widowControl/>
              <w:ind w:firstLine="960" w:firstLineChars="40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1.8</w:t>
            </w:r>
          </w:p>
        </w:tc>
      </w:tr>
      <w:tr w14:paraId="28AB3204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6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A2F4F7">
            <w:pPr>
              <w:widowControl/>
              <w:ind w:firstLine="240" w:firstLine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教育文化和娱乐</w:t>
            </w:r>
          </w:p>
        </w:tc>
        <w:tc>
          <w:tcPr>
            <w:tcW w:w="262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567" w:type="dxa"/>
            </w:tcMar>
            <w:vAlign w:val="center"/>
          </w:tcPr>
          <w:p w14:paraId="78514E52">
            <w:pPr>
              <w:widowControl/>
              <w:ind w:firstLine="240" w:firstLineChars="10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0.4</w:t>
            </w:r>
          </w:p>
        </w:tc>
      </w:tr>
      <w:tr w14:paraId="1D5F9297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6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28841D">
            <w:pPr>
              <w:widowControl/>
              <w:ind w:firstLine="240" w:firstLine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医疗保健</w:t>
            </w:r>
          </w:p>
        </w:tc>
        <w:tc>
          <w:tcPr>
            <w:tcW w:w="262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567" w:type="dxa"/>
            </w:tcMar>
            <w:vAlign w:val="center"/>
          </w:tcPr>
          <w:p w14:paraId="07339BDC">
            <w:pPr>
              <w:widowControl/>
              <w:ind w:firstLine="240" w:firstLineChars="10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0.2</w:t>
            </w:r>
          </w:p>
        </w:tc>
      </w:tr>
      <w:tr w14:paraId="0F883A71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6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8D7083">
            <w:pPr>
              <w:widowControl/>
              <w:ind w:firstLine="240" w:firstLine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其他用品和服务</w:t>
            </w:r>
          </w:p>
        </w:tc>
        <w:tc>
          <w:tcPr>
            <w:tcW w:w="262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567" w:type="dxa"/>
            </w:tcMar>
            <w:vAlign w:val="center"/>
          </w:tcPr>
          <w:p w14:paraId="18A1BA65">
            <w:pPr>
              <w:widowControl/>
              <w:ind w:firstLine="240" w:firstLineChars="10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9.9</w:t>
            </w:r>
          </w:p>
        </w:tc>
      </w:tr>
    </w:tbl>
    <w:p w14:paraId="06C3E3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313" w:beforeLines="100" w:after="0" w:line="70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二、农业</w:t>
      </w:r>
    </w:p>
    <w:p w14:paraId="531F6E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全年实现农林牧渔业总产值724.8亿元，比上年增长3.5%，实现农林牧渔业增加值431.8亿元，比上年增长3.3%。</w:t>
      </w:r>
    </w:p>
    <w:p w14:paraId="0941DF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全年粮食作物种植面积2930.7万亩，比上年减少0.3万亩。其中，水稻种植面积1235.9万亩，增加14.8万亩；玉米种植面积913.1万亩，减少5.5万亩；大豆种植面积778.7万亩，减少10.8万亩。</w:t>
      </w:r>
    </w:p>
    <w:p w14:paraId="03B330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全年粮食产量237.3亿斤，比上年增产3.7亿斤。其中，水稻产量126.6亿斤，增产2.3亿斤；玉米产量88.4亿斤，增产1.1亿斤；大豆产量22.1亿斤，增产0.2亿斤。</w:t>
      </w:r>
    </w:p>
    <w:tbl>
      <w:tblPr>
        <w:tblStyle w:val="10"/>
        <w:tblW w:w="8325" w:type="dxa"/>
        <w:tblInd w:w="6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6"/>
        <w:gridCol w:w="2355"/>
        <w:gridCol w:w="1830"/>
        <w:gridCol w:w="2054"/>
      </w:tblGrid>
      <w:tr w14:paraId="1467B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tblHeader/>
        </w:trPr>
        <w:tc>
          <w:tcPr>
            <w:tcW w:w="8325" w:type="dxa"/>
            <w:gridSpan w:val="4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73856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317"/>
              <w:jc w:val="center"/>
              <w:textAlignment w:val="auto"/>
              <w:outlineLvl w:val="0"/>
              <w:rPr>
                <w:rFonts w:hint="eastAsia" w:ascii="Times New Roman" w:hAnsi="Times New Roman" w:eastAsia="仿宋_GB2312" w:cs="Times New Roman"/>
                <w:color w:val="FF0000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kern w:val="44"/>
                <w:sz w:val="30"/>
                <w:szCs w:val="30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kern w:val="44"/>
                <w:sz w:val="30"/>
                <w:szCs w:val="30"/>
                <w:lang w:val="en-US" w:eastAsia="zh-CN"/>
              </w:rPr>
              <w:t>5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kern w:val="44"/>
                <w:sz w:val="30"/>
                <w:szCs w:val="30"/>
              </w:rPr>
              <w:t>年全市粮食生产情况</w:t>
            </w:r>
          </w:p>
        </w:tc>
      </w:tr>
      <w:tr w14:paraId="4EAD75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tblHeader/>
        </w:trPr>
        <w:tc>
          <w:tcPr>
            <w:tcW w:w="2086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22A4DDC7">
            <w:pPr>
              <w:widowControl/>
              <w:ind w:firstLine="480" w:firstLineChars="200"/>
              <w:jc w:val="both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项  目</w:t>
            </w:r>
          </w:p>
        </w:tc>
        <w:tc>
          <w:tcPr>
            <w:tcW w:w="235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6038ED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种植面积（万亩）</w:t>
            </w:r>
          </w:p>
        </w:tc>
        <w:tc>
          <w:tcPr>
            <w:tcW w:w="183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6E7A90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产量（亿斤）</w:t>
            </w:r>
          </w:p>
        </w:tc>
        <w:tc>
          <w:tcPr>
            <w:tcW w:w="205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5A330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产量增幅（%）</w:t>
            </w:r>
          </w:p>
        </w:tc>
      </w:tr>
      <w:tr w14:paraId="36AF2F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2086" w:type="dxa"/>
            <w:tcBorders>
              <w:top w:val="single" w:color="auto" w:sz="12" w:space="0"/>
              <w:left w:val="nil"/>
              <w:bottom w:val="nil"/>
              <w:right w:val="single" w:color="auto" w:sz="12" w:space="0"/>
            </w:tcBorders>
            <w:shd w:val="clear" w:color="auto" w:fill="auto"/>
            <w:vAlign w:val="center"/>
          </w:tcPr>
          <w:p w14:paraId="7B51B2FB">
            <w:pPr>
              <w:widowControl/>
              <w:ind w:firstLine="240" w:firstLine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粮食作物</w:t>
            </w:r>
          </w:p>
        </w:tc>
        <w:tc>
          <w:tcPr>
            <w:tcW w:w="235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2027A209">
            <w:pPr>
              <w:widowControl/>
              <w:ind w:firstLine="240" w:firstLineChars="10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2930.7</w:t>
            </w:r>
          </w:p>
        </w:tc>
        <w:tc>
          <w:tcPr>
            <w:tcW w:w="183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152C651E">
            <w:pPr>
              <w:widowControl/>
              <w:ind w:firstLine="240" w:firstLineChars="10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37.3</w:t>
            </w:r>
          </w:p>
        </w:tc>
        <w:tc>
          <w:tcPr>
            <w:tcW w:w="2054" w:type="dxa"/>
            <w:tcBorders>
              <w:top w:val="single" w:color="auto" w:sz="12" w:space="0"/>
              <w:left w:val="single" w:color="auto" w:sz="12" w:space="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245BE180">
            <w:pPr>
              <w:widowControl/>
              <w:ind w:firstLine="240" w:firstLineChars="10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1.6</w:t>
            </w:r>
          </w:p>
        </w:tc>
      </w:tr>
      <w:tr w14:paraId="4D4C3F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2086" w:type="dxa"/>
            <w:tcBorders>
              <w:top w:val="nil"/>
              <w:left w:val="nil"/>
              <w:bottom w:val="nil"/>
              <w:right w:val="single" w:color="auto" w:sz="12" w:space="0"/>
            </w:tcBorders>
            <w:shd w:val="clear" w:color="auto" w:fill="auto"/>
            <w:vAlign w:val="center"/>
          </w:tcPr>
          <w:p w14:paraId="042E875C">
            <w:pPr>
              <w:widowControl/>
              <w:ind w:firstLine="240" w:firstLine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其中：水稻</w:t>
            </w:r>
          </w:p>
        </w:tc>
        <w:tc>
          <w:tcPr>
            <w:tcW w:w="2355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39702DF1">
            <w:pPr>
              <w:widowControl/>
              <w:ind w:firstLine="240" w:firstLineChars="10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1235.9</w:t>
            </w:r>
          </w:p>
        </w:tc>
        <w:tc>
          <w:tcPr>
            <w:tcW w:w="1830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59EC31CA">
            <w:pPr>
              <w:widowControl/>
              <w:ind w:firstLine="240" w:firstLineChars="10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126.6</w:t>
            </w:r>
          </w:p>
        </w:tc>
        <w:tc>
          <w:tcPr>
            <w:tcW w:w="2054" w:type="dxa"/>
            <w:tcBorders>
              <w:top w:val="nil"/>
              <w:left w:val="single" w:color="auto" w:sz="12" w:space="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29E5FFBA">
            <w:pPr>
              <w:widowControl/>
              <w:ind w:firstLine="240" w:firstLineChars="10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1.9</w:t>
            </w:r>
          </w:p>
        </w:tc>
      </w:tr>
      <w:tr w14:paraId="378D41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2086" w:type="dxa"/>
            <w:tcBorders>
              <w:top w:val="nil"/>
              <w:left w:val="nil"/>
              <w:bottom w:val="nil"/>
              <w:right w:val="single" w:color="auto" w:sz="12" w:space="0"/>
            </w:tcBorders>
            <w:shd w:val="clear" w:color="auto" w:fill="auto"/>
            <w:vAlign w:val="center"/>
          </w:tcPr>
          <w:p w14:paraId="3F3660B2">
            <w:pPr>
              <w:widowControl/>
              <w:ind w:firstLine="960" w:firstLineChars="4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玉米</w:t>
            </w:r>
          </w:p>
        </w:tc>
        <w:tc>
          <w:tcPr>
            <w:tcW w:w="2355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30B10C03">
            <w:pPr>
              <w:widowControl/>
              <w:ind w:firstLine="240" w:firstLineChars="10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913.1</w:t>
            </w:r>
          </w:p>
        </w:tc>
        <w:tc>
          <w:tcPr>
            <w:tcW w:w="1830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700CA433">
            <w:pPr>
              <w:widowControl/>
              <w:ind w:firstLine="240" w:firstLineChars="10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 8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8.4</w:t>
            </w:r>
          </w:p>
        </w:tc>
        <w:tc>
          <w:tcPr>
            <w:tcW w:w="2054" w:type="dxa"/>
            <w:tcBorders>
              <w:top w:val="nil"/>
              <w:left w:val="single" w:color="auto" w:sz="12" w:space="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0C1975DD">
            <w:pPr>
              <w:widowControl/>
              <w:ind w:firstLine="240" w:firstLineChars="10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1.3</w:t>
            </w:r>
          </w:p>
        </w:tc>
      </w:tr>
      <w:tr w14:paraId="702458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2086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23E1F51C">
            <w:pPr>
              <w:widowControl/>
              <w:ind w:firstLine="960" w:firstLineChars="4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大豆</w:t>
            </w:r>
          </w:p>
        </w:tc>
        <w:tc>
          <w:tcPr>
            <w:tcW w:w="235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67CCA613">
            <w:pPr>
              <w:widowControl/>
              <w:ind w:firstLine="240" w:firstLineChars="10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778.7</w:t>
            </w:r>
          </w:p>
        </w:tc>
        <w:tc>
          <w:tcPr>
            <w:tcW w:w="183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19351933">
            <w:pPr>
              <w:widowControl/>
              <w:ind w:firstLine="240" w:firstLineChars="10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22.1</w:t>
            </w:r>
          </w:p>
        </w:tc>
        <w:tc>
          <w:tcPr>
            <w:tcW w:w="2054" w:type="dxa"/>
            <w:tcBorders>
              <w:top w:val="nil"/>
              <w:left w:val="single" w:color="auto" w:sz="12" w:space="0"/>
              <w:bottom w:val="single" w:color="auto" w:sz="12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1C9FC72D">
            <w:pPr>
              <w:widowControl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1.1</w:t>
            </w:r>
          </w:p>
        </w:tc>
      </w:tr>
    </w:tbl>
    <w:p w14:paraId="790EF3D1">
      <w:pPr>
        <w:ind w:firstLine="420" w:firstLineChars="200"/>
        <w:rPr>
          <w:rFonts w:ascii="Times New Roman" w:hAnsi="Times New Roman"/>
          <w:color w:val="FF0000"/>
        </w:rPr>
      </w:pPr>
    </w:p>
    <w:p w14:paraId="42D2AE80">
      <w:pPr>
        <w:ind w:firstLine="420" w:firstLineChars="200"/>
        <w:rPr>
          <w:rFonts w:ascii="Times New Roman" w:hAnsi="Times New Roman"/>
          <w:color w:val="FF0000"/>
        </w:rPr>
      </w:pPr>
    </w:p>
    <w:p w14:paraId="635CEA90">
      <w:pPr>
        <w:jc w:val="center"/>
        <w:rPr>
          <w:rFonts w:ascii="Times New Roman" w:hAnsi="Times New Roman" w:eastAsia="仿宋_GB2312" w:cs="Times New Roman"/>
          <w:b/>
          <w:bCs/>
          <w:color w:val="FF0000"/>
          <w:sz w:val="32"/>
          <w:szCs w:val="32"/>
        </w:rPr>
      </w:pPr>
      <w:r>
        <w:drawing>
          <wp:inline distT="0" distB="0" distL="114300" distR="114300">
            <wp:extent cx="5073650" cy="2754630"/>
            <wp:effectExtent l="0" t="0" r="12700" b="7620"/>
            <wp:docPr id="11" name="图表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0A66D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600" w:lineRule="exact"/>
        <w:ind w:firstLine="640" w:firstLineChars="200"/>
        <w:textAlignment w:val="auto"/>
        <w:rPr>
          <w:rFonts w:ascii="Times New Roman" w:hAnsi="Times New Roman" w:eastAsia="仿宋_GB2312" w:cs="仿宋_GB2312"/>
          <w:color w:val="FF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全年林业产值15.4亿元，比上年增长7.2%。全市畜牧业产值116.0亿元，比上年增长3.2%。主要畜禽中：猪出栏218.4万头，增长4.5%；牛出栏25.0万头，增长4.0%；羊出栏52.7万只，下降4.8%。全市渔业产值25.3亿元，比上年增长8.4%。全年渔业产量8.8万吨，增长8.5%。</w:t>
      </w:r>
    </w:p>
    <w:p w14:paraId="158B39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70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三、工业和建筑业</w:t>
      </w:r>
    </w:p>
    <w:p w14:paraId="30CBDD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全年工业增加值为74.0亿元，比上年增长5.3%。其中，规模以上工业实现产值475.9亿元，增长0.4%，规模以上工业增加值增长7.8%。六大主导行业增速呈现“五升一降”态势，医药、建材、装备制造、石化、食品等行业规上工业增加值比上年分别增长32.2%、18.1%、15.7%、11.2%、5.6%，能源行业规上工业增加值比上年下降3.6%。</w:t>
      </w:r>
    </w:p>
    <w:tbl>
      <w:tblPr>
        <w:tblStyle w:val="10"/>
        <w:tblW w:w="810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0"/>
        <w:gridCol w:w="3720"/>
      </w:tblGrid>
      <w:tr w14:paraId="6BF07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tblHeader/>
          <w:jc w:val="center"/>
        </w:trPr>
        <w:tc>
          <w:tcPr>
            <w:tcW w:w="8100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4887BDBC">
            <w:pPr>
              <w:ind w:firstLine="600" w:firstLineChars="200"/>
              <w:jc w:val="center"/>
              <w:rPr>
                <w:rFonts w:hint="eastAsia" w:ascii="方正小标宋简体" w:hAnsi="方正小标宋简体" w:eastAsia="方正小标宋简体" w:cs="方正小标宋简体"/>
                <w:color w:val="auto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0"/>
                <w:szCs w:val="30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0"/>
                <w:szCs w:val="30"/>
                <w:lang w:val="en-US" w:eastAsia="zh-CN"/>
              </w:rPr>
              <w:t>5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0"/>
                <w:szCs w:val="30"/>
              </w:rPr>
              <w:t>年全市规模以上工业产值增速</w:t>
            </w:r>
          </w:p>
        </w:tc>
      </w:tr>
      <w:tr w14:paraId="25D98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tblHeader/>
          <w:jc w:val="center"/>
        </w:trPr>
        <w:tc>
          <w:tcPr>
            <w:tcW w:w="4380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EE5E0">
            <w:pPr>
              <w:widowControl/>
              <w:ind w:firstLine="24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指  标</w:t>
            </w:r>
          </w:p>
        </w:tc>
        <w:tc>
          <w:tcPr>
            <w:tcW w:w="3720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71BCAE9">
            <w:pPr>
              <w:widowControl/>
              <w:ind w:firstLine="24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eastAsia="zh-CN"/>
              </w:rPr>
              <w:t>比上年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增长（%）</w:t>
            </w:r>
          </w:p>
        </w:tc>
      </w:tr>
      <w:tr w14:paraId="5E4F1A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438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DAEEBD">
            <w:pPr>
              <w:widowControl/>
              <w:ind w:firstLine="24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8D0D1D6">
            <w:pPr>
              <w:widowControl/>
              <w:ind w:firstLine="24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</w:p>
        </w:tc>
      </w:tr>
      <w:tr w14:paraId="501A7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438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F46B4E3">
            <w:pPr>
              <w:widowControl/>
              <w:ind w:firstLine="24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规模以上工业产值增长速度</w:t>
            </w:r>
          </w:p>
        </w:tc>
        <w:tc>
          <w:tcPr>
            <w:tcW w:w="372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567" w:type="dxa"/>
            </w:tcMar>
            <w:vAlign w:val="center"/>
          </w:tcPr>
          <w:p w14:paraId="7728152E">
            <w:pPr>
              <w:widowControl/>
              <w:ind w:firstLine="24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4</w:t>
            </w:r>
          </w:p>
        </w:tc>
      </w:tr>
      <w:tr w14:paraId="2B9E1A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438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0E487F6">
            <w:pPr>
              <w:widowControl/>
              <w:ind w:firstLine="24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>其中：轻工业</w:t>
            </w:r>
          </w:p>
        </w:tc>
        <w:tc>
          <w:tcPr>
            <w:tcW w:w="372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567" w:type="dxa"/>
            </w:tcMar>
            <w:vAlign w:val="center"/>
          </w:tcPr>
          <w:p w14:paraId="55365686">
            <w:pPr>
              <w:widowControl/>
              <w:ind w:firstLine="24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-4.4</w:t>
            </w:r>
          </w:p>
        </w:tc>
      </w:tr>
      <w:tr w14:paraId="424271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438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8DCA627">
            <w:pPr>
              <w:widowControl/>
              <w:ind w:firstLine="24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 xml:space="preserve">      重工业</w:t>
            </w:r>
          </w:p>
        </w:tc>
        <w:tc>
          <w:tcPr>
            <w:tcW w:w="372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567" w:type="dxa"/>
            </w:tcMar>
            <w:vAlign w:val="center"/>
          </w:tcPr>
          <w:p w14:paraId="2EEF0C5F">
            <w:pPr>
              <w:widowControl/>
              <w:ind w:firstLine="24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5.1</w:t>
            </w:r>
          </w:p>
        </w:tc>
      </w:tr>
      <w:tr w14:paraId="6063D2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438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B90CFAA">
            <w:pPr>
              <w:widowControl/>
              <w:ind w:firstLine="24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 xml:space="preserve">      国有企业</w:t>
            </w:r>
          </w:p>
        </w:tc>
        <w:tc>
          <w:tcPr>
            <w:tcW w:w="372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567" w:type="dxa"/>
            </w:tcMar>
            <w:vAlign w:val="center"/>
          </w:tcPr>
          <w:p w14:paraId="7D654026">
            <w:pPr>
              <w:widowControl/>
              <w:ind w:firstLine="24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-25.6</w:t>
            </w:r>
          </w:p>
        </w:tc>
      </w:tr>
      <w:tr w14:paraId="597532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438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4CB1C72">
            <w:pPr>
              <w:widowControl/>
              <w:ind w:firstLine="24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 xml:space="preserve">      股份合作企业</w:t>
            </w:r>
          </w:p>
        </w:tc>
        <w:tc>
          <w:tcPr>
            <w:tcW w:w="372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567" w:type="dxa"/>
            </w:tcMar>
            <w:vAlign w:val="center"/>
          </w:tcPr>
          <w:p w14:paraId="74154564">
            <w:pPr>
              <w:widowControl/>
              <w:ind w:firstLine="24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-6.0</w:t>
            </w:r>
          </w:p>
        </w:tc>
      </w:tr>
      <w:tr w14:paraId="676DA7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438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DD752BA">
            <w:pPr>
              <w:widowControl/>
              <w:ind w:firstLine="24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 xml:space="preserve">      股份制企业</w:t>
            </w:r>
          </w:p>
        </w:tc>
        <w:tc>
          <w:tcPr>
            <w:tcW w:w="372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567" w:type="dxa"/>
            </w:tcMar>
            <w:vAlign w:val="center"/>
          </w:tcPr>
          <w:p w14:paraId="1ED7D28E">
            <w:pPr>
              <w:widowControl/>
              <w:ind w:firstLine="24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-0.1</w:t>
            </w:r>
          </w:p>
        </w:tc>
      </w:tr>
      <w:tr w14:paraId="2D755C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438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A4B7978">
            <w:pPr>
              <w:widowControl/>
              <w:ind w:firstLine="24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 xml:space="preserve">      外商及港台投资企业</w:t>
            </w:r>
          </w:p>
        </w:tc>
        <w:tc>
          <w:tcPr>
            <w:tcW w:w="372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567" w:type="dxa"/>
            </w:tcMar>
            <w:vAlign w:val="center"/>
          </w:tcPr>
          <w:p w14:paraId="24F446E9">
            <w:pPr>
              <w:widowControl/>
              <w:ind w:firstLine="24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5.3</w:t>
            </w:r>
          </w:p>
        </w:tc>
      </w:tr>
      <w:tr w14:paraId="29B41B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438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76DD6A0">
            <w:pPr>
              <w:widowControl/>
              <w:ind w:firstLine="24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 xml:space="preserve">      其他经济类型企业</w:t>
            </w:r>
          </w:p>
        </w:tc>
        <w:tc>
          <w:tcPr>
            <w:tcW w:w="372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567" w:type="dxa"/>
            </w:tcMar>
            <w:vAlign w:val="center"/>
          </w:tcPr>
          <w:p w14:paraId="69192F2D">
            <w:pPr>
              <w:widowControl/>
              <w:ind w:firstLine="24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-30.2</w:t>
            </w:r>
          </w:p>
        </w:tc>
      </w:tr>
      <w:tr w14:paraId="51CEA8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438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8425720">
            <w:pPr>
              <w:widowControl/>
              <w:ind w:firstLine="24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 xml:space="preserve">  在总计中：国有控股企业</w:t>
            </w:r>
          </w:p>
        </w:tc>
        <w:tc>
          <w:tcPr>
            <w:tcW w:w="372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567" w:type="dxa"/>
            </w:tcMar>
            <w:vAlign w:val="center"/>
          </w:tcPr>
          <w:p w14:paraId="3A551832">
            <w:pPr>
              <w:widowControl/>
              <w:ind w:firstLine="24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10.5</w:t>
            </w:r>
          </w:p>
        </w:tc>
      </w:tr>
      <w:tr w14:paraId="0A18E9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4380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99C9EC1">
            <w:pPr>
              <w:widowControl/>
              <w:ind w:firstLine="24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</w:rPr>
              <w:t xml:space="preserve">  在总计中：大中型企业</w:t>
            </w:r>
          </w:p>
        </w:tc>
        <w:tc>
          <w:tcPr>
            <w:tcW w:w="3720" w:type="dxa"/>
            <w:tcBorders>
              <w:top w:val="nil"/>
              <w:left w:val="single" w:color="auto" w:sz="4" w:space="0"/>
              <w:bottom w:val="single" w:color="auto" w:sz="12" w:space="0"/>
              <w:right w:val="nil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567" w:type="dxa"/>
            </w:tcMar>
            <w:vAlign w:val="center"/>
          </w:tcPr>
          <w:p w14:paraId="0288F623">
            <w:pPr>
              <w:widowControl/>
              <w:ind w:firstLine="24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  -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3.3</w:t>
            </w:r>
          </w:p>
        </w:tc>
      </w:tr>
    </w:tbl>
    <w:p w14:paraId="53E0A643">
      <w:pPr>
        <w:ind w:firstLine="420" w:firstLineChars="200"/>
        <w:rPr>
          <w:rFonts w:ascii="Times New Roman" w:hAnsi="Times New Roman"/>
          <w:color w:val="FF0000"/>
        </w:rPr>
      </w:pPr>
    </w:p>
    <w:tbl>
      <w:tblPr>
        <w:tblStyle w:val="10"/>
        <w:tblW w:w="816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0"/>
        <w:gridCol w:w="2139"/>
        <w:gridCol w:w="1841"/>
        <w:gridCol w:w="2140"/>
      </w:tblGrid>
      <w:tr w14:paraId="16FEAE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tblHeader/>
          <w:jc w:val="center"/>
        </w:trPr>
        <w:tc>
          <w:tcPr>
            <w:tcW w:w="8160" w:type="dxa"/>
            <w:gridSpan w:val="4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38233040">
            <w:pPr>
              <w:ind w:firstLine="320"/>
              <w:jc w:val="center"/>
              <w:rPr>
                <w:rFonts w:hint="eastAsia" w:ascii="方正小标宋简体" w:hAnsi="方正小标宋简体" w:eastAsia="方正小标宋简体" w:cs="方正小标宋简体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2"/>
                <w:szCs w:val="32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2"/>
                <w:szCs w:val="32"/>
              </w:rPr>
              <w:t>年全市规模以上工业企业主要产品产量及增速</w:t>
            </w:r>
          </w:p>
        </w:tc>
      </w:tr>
      <w:tr w14:paraId="051EB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tblHeader/>
          <w:jc w:val="center"/>
        </w:trPr>
        <w:tc>
          <w:tcPr>
            <w:tcW w:w="2040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B90B9">
            <w:pPr>
              <w:widowControl/>
              <w:ind w:firstLine="240"/>
              <w:jc w:val="center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 xml:space="preserve">指 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标</w:t>
            </w:r>
          </w:p>
        </w:tc>
        <w:tc>
          <w:tcPr>
            <w:tcW w:w="2139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FCE1F">
            <w:pPr>
              <w:widowControl/>
              <w:ind w:firstLine="240"/>
              <w:jc w:val="center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 xml:space="preserve">单 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位</w:t>
            </w:r>
          </w:p>
        </w:tc>
        <w:tc>
          <w:tcPr>
            <w:tcW w:w="1841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D3F73">
            <w:pPr>
              <w:widowControl/>
              <w:ind w:firstLine="240"/>
              <w:jc w:val="center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 xml:space="preserve">数 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量</w:t>
            </w:r>
          </w:p>
        </w:tc>
        <w:tc>
          <w:tcPr>
            <w:tcW w:w="2140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B8122A8">
            <w:pPr>
              <w:widowControl/>
              <w:jc w:val="center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eastAsia="zh-CN"/>
              </w:rPr>
              <w:t>比上年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增长</w:t>
            </w:r>
          </w:p>
        </w:tc>
      </w:tr>
      <w:tr w14:paraId="175BD3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tblHeader/>
          <w:jc w:val="center"/>
        </w:trPr>
        <w:tc>
          <w:tcPr>
            <w:tcW w:w="204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C20AFB">
            <w:pPr>
              <w:widowControl/>
              <w:ind w:firstLine="240"/>
              <w:jc w:val="center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A9761">
            <w:pPr>
              <w:widowControl/>
              <w:ind w:firstLine="240"/>
              <w:jc w:val="center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F7E80">
            <w:pPr>
              <w:widowControl/>
              <w:ind w:firstLine="240"/>
              <w:jc w:val="center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BD6C48B">
            <w:pPr>
              <w:widowControl/>
              <w:ind w:firstLine="240"/>
              <w:jc w:val="center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</w:p>
        </w:tc>
      </w:tr>
      <w:tr w14:paraId="68C16D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204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09DA154">
            <w:pPr>
              <w:widowControl/>
              <w:ind w:firstLine="240"/>
              <w:jc w:val="lef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大米</w:t>
            </w:r>
          </w:p>
        </w:tc>
        <w:tc>
          <w:tcPr>
            <w:tcW w:w="213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4E7936F">
            <w:pPr>
              <w:widowControl/>
              <w:ind w:firstLine="599" w:firstLineChars="214"/>
              <w:jc w:val="both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万吨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19B38073">
            <w:pPr>
              <w:widowControl/>
              <w:ind w:firstLine="240"/>
              <w:jc w:val="righ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2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67.0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76797B2D">
            <w:pPr>
              <w:widowControl/>
              <w:ind w:firstLine="240"/>
              <w:jc w:val="righ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 xml:space="preserve">    -1.1%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 xml:space="preserve"> </w:t>
            </w:r>
          </w:p>
        </w:tc>
      </w:tr>
      <w:tr w14:paraId="7D4EFB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0EE8E55">
            <w:pPr>
              <w:widowControl/>
              <w:ind w:firstLine="240"/>
              <w:jc w:val="lef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鲜、冷藏肉</w:t>
            </w:r>
          </w:p>
        </w:tc>
        <w:tc>
          <w:tcPr>
            <w:tcW w:w="213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CA198E7">
            <w:pPr>
              <w:widowControl/>
              <w:ind w:firstLine="599" w:firstLineChars="214"/>
              <w:jc w:val="both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万吨</w:t>
            </w:r>
          </w:p>
        </w:tc>
        <w:tc>
          <w:tcPr>
            <w:tcW w:w="184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482D81CC">
            <w:pPr>
              <w:widowControl/>
              <w:ind w:firstLine="240"/>
              <w:jc w:val="righ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 xml:space="preserve">  3.0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214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18D71E29">
            <w:pPr>
              <w:widowControl/>
              <w:ind w:firstLine="240"/>
              <w:jc w:val="right"/>
              <w:rPr>
                <w:rFonts w:hint="default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1.8%</w:t>
            </w:r>
          </w:p>
        </w:tc>
      </w:tr>
      <w:tr w14:paraId="75E9DB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4F98CD8">
            <w:pPr>
              <w:widowControl/>
              <w:ind w:firstLine="240"/>
              <w:jc w:val="lef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发酵酒精</w:t>
            </w:r>
          </w:p>
        </w:tc>
        <w:tc>
          <w:tcPr>
            <w:tcW w:w="213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217A4DF">
            <w:pPr>
              <w:widowControl/>
              <w:ind w:firstLine="599" w:firstLineChars="214"/>
              <w:jc w:val="both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万千升</w:t>
            </w:r>
          </w:p>
        </w:tc>
        <w:tc>
          <w:tcPr>
            <w:tcW w:w="184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0695BFCA">
            <w:pPr>
              <w:widowControl/>
              <w:ind w:firstLine="240"/>
              <w:jc w:val="righ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134.1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214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2297587E">
            <w:pPr>
              <w:widowControl/>
              <w:ind w:firstLine="240"/>
              <w:jc w:val="righ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 xml:space="preserve">   16.1%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 xml:space="preserve"> </w:t>
            </w:r>
          </w:p>
        </w:tc>
      </w:tr>
      <w:tr w14:paraId="0C6F5E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08F59FE">
            <w:pPr>
              <w:widowControl/>
              <w:ind w:firstLine="240"/>
              <w:jc w:val="lef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啤酒</w:t>
            </w:r>
          </w:p>
        </w:tc>
        <w:tc>
          <w:tcPr>
            <w:tcW w:w="213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DA6318C">
            <w:pPr>
              <w:widowControl/>
              <w:ind w:firstLine="599" w:firstLineChars="214"/>
              <w:jc w:val="both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万千升</w:t>
            </w:r>
          </w:p>
        </w:tc>
        <w:tc>
          <w:tcPr>
            <w:tcW w:w="184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3FFA0394">
            <w:pPr>
              <w:widowControl/>
              <w:ind w:firstLine="240"/>
              <w:jc w:val="righ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 xml:space="preserve">  5.7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214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63D1D278">
            <w:pPr>
              <w:widowControl/>
              <w:ind w:firstLine="240"/>
              <w:jc w:val="righ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 xml:space="preserve">   -16.2%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 xml:space="preserve"> </w:t>
            </w:r>
          </w:p>
        </w:tc>
      </w:tr>
      <w:tr w14:paraId="000897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0830183">
            <w:pPr>
              <w:widowControl/>
              <w:ind w:firstLine="240"/>
              <w:jc w:val="lef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水泥</w:t>
            </w:r>
          </w:p>
        </w:tc>
        <w:tc>
          <w:tcPr>
            <w:tcW w:w="213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1A64489">
            <w:pPr>
              <w:widowControl/>
              <w:ind w:firstLine="599" w:firstLineChars="214"/>
              <w:jc w:val="both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万吨</w:t>
            </w:r>
          </w:p>
        </w:tc>
        <w:tc>
          <w:tcPr>
            <w:tcW w:w="184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3826E849">
            <w:pPr>
              <w:widowControl/>
              <w:ind w:firstLine="240"/>
              <w:jc w:val="righ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2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36.6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214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6468B1CE">
            <w:pPr>
              <w:widowControl/>
              <w:ind w:firstLine="240"/>
              <w:jc w:val="righ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 xml:space="preserve">   -3.7%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 xml:space="preserve"> </w:t>
            </w:r>
          </w:p>
        </w:tc>
      </w:tr>
      <w:tr w14:paraId="0BF00B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6EF5CD3">
            <w:pPr>
              <w:widowControl/>
              <w:ind w:firstLine="240"/>
              <w:jc w:val="lef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平板玻璃</w:t>
            </w:r>
          </w:p>
        </w:tc>
        <w:tc>
          <w:tcPr>
            <w:tcW w:w="213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D54B7A2">
            <w:pPr>
              <w:widowControl/>
              <w:ind w:firstLine="599" w:firstLineChars="214"/>
              <w:jc w:val="both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万重量箱</w:t>
            </w:r>
          </w:p>
        </w:tc>
        <w:tc>
          <w:tcPr>
            <w:tcW w:w="184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431E8124">
            <w:pPr>
              <w:widowControl/>
              <w:ind w:firstLine="240"/>
              <w:jc w:val="righ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515.7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214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55137FF6">
            <w:pPr>
              <w:widowControl/>
              <w:ind w:firstLine="240"/>
              <w:jc w:val="righ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 xml:space="preserve">  6.3%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 xml:space="preserve"> </w:t>
            </w:r>
          </w:p>
        </w:tc>
      </w:tr>
      <w:tr w14:paraId="4CDA2C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DED415A">
            <w:pPr>
              <w:widowControl/>
              <w:ind w:firstLine="240"/>
              <w:jc w:val="lef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大型拖拉机</w:t>
            </w:r>
          </w:p>
        </w:tc>
        <w:tc>
          <w:tcPr>
            <w:tcW w:w="213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4A6B814">
            <w:pPr>
              <w:widowControl/>
              <w:ind w:firstLine="599" w:firstLineChars="214"/>
              <w:jc w:val="both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台</w:t>
            </w:r>
          </w:p>
        </w:tc>
        <w:tc>
          <w:tcPr>
            <w:tcW w:w="184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4EF911E3">
            <w:pPr>
              <w:widowControl/>
              <w:ind w:firstLine="240"/>
              <w:jc w:val="righ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 xml:space="preserve">  58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214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5355AD24">
            <w:pPr>
              <w:widowControl/>
              <w:ind w:firstLine="240"/>
              <w:jc w:val="righ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 xml:space="preserve">  -27.5%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 xml:space="preserve"> </w:t>
            </w:r>
          </w:p>
        </w:tc>
      </w:tr>
      <w:tr w14:paraId="7633CB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886C2DC">
            <w:pPr>
              <w:widowControl/>
              <w:ind w:firstLine="240"/>
              <w:jc w:val="lef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中型拖拉机</w:t>
            </w:r>
          </w:p>
        </w:tc>
        <w:tc>
          <w:tcPr>
            <w:tcW w:w="213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1598991">
            <w:pPr>
              <w:widowControl/>
              <w:ind w:firstLine="599" w:firstLineChars="214"/>
              <w:jc w:val="both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台</w:t>
            </w:r>
          </w:p>
        </w:tc>
        <w:tc>
          <w:tcPr>
            <w:tcW w:w="184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7D927082">
            <w:pPr>
              <w:widowControl/>
              <w:ind w:firstLine="240"/>
              <w:jc w:val="righ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1681.0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214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29BD323C">
            <w:pPr>
              <w:widowControl/>
              <w:ind w:firstLine="240"/>
              <w:jc w:val="righ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 xml:space="preserve">  -25.1%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 xml:space="preserve"> </w:t>
            </w:r>
          </w:p>
        </w:tc>
      </w:tr>
      <w:tr w14:paraId="655247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5246487">
            <w:pPr>
              <w:widowControl/>
              <w:ind w:firstLine="240"/>
              <w:jc w:val="lef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收获机械</w:t>
            </w:r>
          </w:p>
        </w:tc>
        <w:tc>
          <w:tcPr>
            <w:tcW w:w="213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4402A89">
            <w:pPr>
              <w:widowControl/>
              <w:ind w:firstLine="599" w:firstLineChars="214"/>
              <w:jc w:val="both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台</w:t>
            </w:r>
          </w:p>
        </w:tc>
        <w:tc>
          <w:tcPr>
            <w:tcW w:w="184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3BDCB7BB">
            <w:pPr>
              <w:widowControl/>
              <w:ind w:firstLine="240"/>
              <w:jc w:val="righ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 xml:space="preserve"> 388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214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5E18CBF4">
            <w:pPr>
              <w:widowControl/>
              <w:ind w:firstLine="240"/>
              <w:jc w:val="righ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-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37.0%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 xml:space="preserve"> </w:t>
            </w:r>
          </w:p>
        </w:tc>
      </w:tr>
      <w:tr w14:paraId="6B442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2040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F5FDB8E">
            <w:pPr>
              <w:widowControl/>
              <w:ind w:firstLine="240"/>
              <w:jc w:val="lef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交流电动机</w:t>
            </w:r>
          </w:p>
        </w:tc>
        <w:tc>
          <w:tcPr>
            <w:tcW w:w="2139" w:type="dxa"/>
            <w:tcBorders>
              <w:top w:val="nil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6B7DAC1">
            <w:pPr>
              <w:widowControl/>
              <w:ind w:firstLine="599" w:firstLineChars="214"/>
              <w:jc w:val="both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万千瓦</w:t>
            </w:r>
          </w:p>
        </w:tc>
        <w:tc>
          <w:tcPr>
            <w:tcW w:w="1841" w:type="dxa"/>
            <w:tcBorders>
              <w:top w:val="nil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5E1F2421">
            <w:pPr>
              <w:widowControl/>
              <w:ind w:firstLine="240"/>
              <w:jc w:val="right"/>
              <w:rPr>
                <w:rFonts w:hint="default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989.5</w:t>
            </w:r>
          </w:p>
        </w:tc>
        <w:tc>
          <w:tcPr>
            <w:tcW w:w="2140" w:type="dxa"/>
            <w:tcBorders>
              <w:top w:val="nil"/>
              <w:left w:val="single" w:color="auto" w:sz="4" w:space="0"/>
              <w:bottom w:val="single" w:color="auto" w:sz="12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283" w:type="dxa"/>
            </w:tcMar>
            <w:vAlign w:val="center"/>
          </w:tcPr>
          <w:p w14:paraId="5EC77590">
            <w:pPr>
              <w:widowControl/>
              <w:ind w:firstLine="240"/>
              <w:jc w:val="right"/>
              <w:rPr>
                <w:rFonts w:hint="default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 xml:space="preserve">   4.9%</w:t>
            </w:r>
          </w:p>
        </w:tc>
      </w:tr>
    </w:tbl>
    <w:p w14:paraId="07F09BA5">
      <w:pPr>
        <w:ind w:firstLine="420" w:firstLineChars="200"/>
        <w:rPr>
          <w:rFonts w:ascii="Times New Roman" w:hAnsi="Times New Roman"/>
          <w:color w:val="FF0000"/>
        </w:rPr>
      </w:pPr>
    </w:p>
    <w:p w14:paraId="1DACDEDC">
      <w:pPr>
        <w:jc w:val="center"/>
        <w:rPr>
          <w:rFonts w:ascii="Times New Roman" w:hAnsi="Times New Roman" w:eastAsia="仿宋_GB2312" w:cs="Times New Roman"/>
          <w:color w:val="FF0000"/>
          <w:sz w:val="32"/>
          <w:szCs w:val="32"/>
        </w:rPr>
      </w:pPr>
      <w:r>
        <w:drawing>
          <wp:inline distT="0" distB="0" distL="114300" distR="114300">
            <wp:extent cx="5090795" cy="3161030"/>
            <wp:effectExtent l="0" t="0" r="14605" b="1270"/>
            <wp:docPr id="12" name="图表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2F4A0F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600" w:lineRule="exact"/>
        <w:ind w:firstLine="640" w:firstLineChars="200"/>
        <w:textAlignment w:val="auto"/>
        <w:rPr>
          <w:color w:val="auto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全年完成建筑业总产值71.6亿元，比上年下降1.4%，实现增加值20.9亿元，下降1.9%。全市有资质以上建筑业企业197家，比上年增长3.7%。</w:t>
      </w:r>
    </w:p>
    <w:p w14:paraId="0C020D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70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四、固定资产投资</w:t>
      </w:r>
    </w:p>
    <w:p w14:paraId="4F6A66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全年固定资产投资比上年下降11.5%，按产业分，第一产业投资下降33.9%、第二产业投资增长4.1%、第三产业投资下降9.9%，占固定资产投资比重分别为18.1%、35.8%和46.1%。按经济类型分，国有控股投资下降21.3%，民间投资增长27.5%，外                                                 商及港澳台投资下降62.0%，占固定资产投资比重分别为62.8%、35.0%和2.2%。</w:t>
      </w:r>
    </w:p>
    <w:p w14:paraId="08A96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FF0000"/>
          <w:sz w:val="32"/>
          <w:szCs w:val="32"/>
          <w:lang w:val="en-US" w:eastAsia="zh-CN"/>
        </w:rPr>
      </w:pPr>
    </w:p>
    <w:p w14:paraId="3A3672E5">
      <w:pPr>
        <w:rPr>
          <w:color w:val="FF0000"/>
        </w:rPr>
      </w:pPr>
      <w:r>
        <w:drawing>
          <wp:inline distT="0" distB="0" distL="114300" distR="114300">
            <wp:extent cx="5255895" cy="3131185"/>
            <wp:effectExtent l="0" t="0" r="1905" b="12065"/>
            <wp:docPr id="15" name="图表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FDC8E32">
      <w:pPr>
        <w:rPr>
          <w:color w:val="FF0000"/>
        </w:rPr>
      </w:pPr>
    </w:p>
    <w:p w14:paraId="67C51175">
      <w:pPr>
        <w:rPr>
          <w:color w:val="FF0000"/>
        </w:rPr>
      </w:pPr>
      <w:r>
        <w:drawing>
          <wp:inline distT="0" distB="0" distL="114300" distR="114300">
            <wp:extent cx="5188585" cy="2772410"/>
            <wp:effectExtent l="0" t="0" r="12065" b="8890"/>
            <wp:docPr id="16" name="图表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354AF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全年房地产开发投资比上年下降34.0%，完成投资占全市固定资产投资的比重为5.6%，其中：住宅投资下降43.4%，办公楼投资下降98.9%，商业营业用房投资增长91.5%。商品房销售面积59.9万平方米，增长5.9%。</w:t>
      </w:r>
    </w:p>
    <w:p w14:paraId="0A0EEF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本年施工项目530个，计划总投资5000万元以上项目238个，完成投资占全市固定资产投资的比重为83.5%。计划总投资亿元以上项目160个，完成投资占全市固定资产投资的比重为71.1%。计划总投资十亿元以上项目12个，完成投资占全市固定资产投资的比重为20.2%。</w:t>
      </w:r>
    </w:p>
    <w:p w14:paraId="4E4B9D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70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五、国内贸易和实际利用内资</w:t>
      </w:r>
    </w:p>
    <w:p w14:paraId="3699D6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全年社会消费品零售总额比上年增长5.0%。按经营地分，城镇消费品零售额增长5.1%，乡村消费品零售额增长4.2%；按消费类型分，商品零售额增长5.0%，餐饮收入额增长4.0%。</w:t>
      </w:r>
    </w:p>
    <w:p w14:paraId="77FBA6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textAlignment w:val="auto"/>
        <w:rPr>
          <w:color w:val="FF0000"/>
        </w:rPr>
      </w:pPr>
      <w:r>
        <w:drawing>
          <wp:inline distT="0" distB="0" distL="114300" distR="114300">
            <wp:extent cx="5194935" cy="3107055"/>
            <wp:effectExtent l="0" t="0" r="5715" b="17145"/>
            <wp:docPr id="17" name="图表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1E8FA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textAlignment w:val="auto"/>
        <w:rPr>
          <w:rFonts w:hint="eastAsia" w:ascii="Times New Roman" w:hAnsi="Times New Roman" w:eastAsia="仿宋_GB2312" w:cs="Times New Roman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FF000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从限额以上商品零售情况看，基本生活类和部分升级类商品零售增势较好，粮油食品类、服装鞋帽针纺织品类、化妆品类、金银珠宝类、电子出版物及音像制品类商品零售分别增长17.4%、16.8%、13.4%、7.0%、2.1%。能源相关的商品销售增势较好，煤炭及制品类、石油及制品类商品零售分别增长10.6%、6.5%。</w:t>
      </w:r>
    </w:p>
    <w:p w14:paraId="04E77F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全年实现实际利用内资总额544.3亿元，同比增长31.35%。全年新签约亿元以上项目140个，在库亿元以上内资项目455个，占全市项目数65.8%，占比较同期下降5.1个百分点，亿元以上项目利用内资金额526.36亿元，占全市利用内资总额96.7%，比重比同期减少0.5个百分点。制造业、农、林、牧、渔业、交通运输仓储和邮政业吸引内资金额占比分别达到44.8%、16.21%、7.6%，吸引内资金额力度最大的行业是制造行业。</w:t>
      </w:r>
    </w:p>
    <w:p w14:paraId="482276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70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六、服务业</w:t>
      </w:r>
    </w:p>
    <w:p w14:paraId="61AE58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全年批发和零售业增加值80.9亿元，比上年增长5.3%；交通运输、仓储和邮政业增加值89.1亿元，比上年增长12.3%；住宿和餐饮业增加值8.9亿元，比上年增长5.1%；金融业增加值60.1亿元，比上年增长12.7%；房地产业增加值52.1亿元，比上年增长3.0%；其他服务业增加值234.4亿元，比上年增长3.5%。规模以上服务业企业全年实现营业收入合计87.0亿元，比上年增长10.5%。</w:t>
      </w:r>
    </w:p>
    <w:p w14:paraId="483EDE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全年主要运输方式完成货运量6931.8万吨，其中，铁路1771.6万吨，公路4954.8万吨，水路205.2万吨，航空0.15万吨。全市道路营运车辆共计28555辆，其中营运货车19524辆（含危险货物运输车1319辆），客运车辆9031辆（含客运班车567辆、公交车735辆、出租车7473辆、旅游及包车客车256辆）。</w:t>
      </w:r>
    </w:p>
    <w:p w14:paraId="5A215C07">
      <w:pPr>
        <w:ind w:firstLine="640" w:firstLineChars="200"/>
        <w:rPr>
          <w:rFonts w:hint="eastAsia" w:ascii="Times New Roman" w:hAnsi="Times New Roman" w:eastAsia="仿宋_GB2312" w:cs="Times New Roman"/>
          <w:color w:val="FF0000"/>
          <w:sz w:val="32"/>
          <w:szCs w:val="32"/>
        </w:rPr>
      </w:pPr>
    </w:p>
    <w:tbl>
      <w:tblPr>
        <w:tblStyle w:val="10"/>
        <w:tblW w:w="8288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2"/>
        <w:gridCol w:w="1450"/>
        <w:gridCol w:w="1531"/>
        <w:gridCol w:w="2245"/>
      </w:tblGrid>
      <w:tr w14:paraId="5C9132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tblHeader/>
        </w:trPr>
        <w:tc>
          <w:tcPr>
            <w:tcW w:w="8288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5CDD0CB">
            <w:pPr>
              <w:ind w:firstLine="320"/>
              <w:jc w:val="center"/>
              <w:rPr>
                <w:rFonts w:hint="default" w:ascii="Times New Roman" w:hAnsi="Times New Roman" w:cs="Times New Roman" w:eastAsiaTheme="minorEastAsia"/>
                <w:color w:val="FF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0"/>
                <w:szCs w:val="30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0"/>
                <w:szCs w:val="30"/>
                <w:lang w:val="en-US" w:eastAsia="zh-CN"/>
              </w:rPr>
              <w:t>5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0"/>
                <w:szCs w:val="30"/>
              </w:rPr>
              <w:t>年主要运输方式完成货物运输量及其增长速度</w:t>
            </w:r>
          </w:p>
        </w:tc>
      </w:tr>
      <w:tr w14:paraId="270C97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tblHeader/>
        </w:trPr>
        <w:tc>
          <w:tcPr>
            <w:tcW w:w="306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54AF1">
            <w:pPr>
              <w:widowControl/>
              <w:ind w:firstLine="24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指  标</w:t>
            </w:r>
          </w:p>
        </w:tc>
        <w:tc>
          <w:tcPr>
            <w:tcW w:w="145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17B7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单  位</w:t>
            </w:r>
          </w:p>
        </w:tc>
        <w:tc>
          <w:tcPr>
            <w:tcW w:w="153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6F12C">
            <w:pPr>
              <w:widowControl/>
              <w:ind w:firstLine="24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绝对数</w:t>
            </w:r>
          </w:p>
        </w:tc>
        <w:tc>
          <w:tcPr>
            <w:tcW w:w="224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3DD07E1">
            <w:pPr>
              <w:widowControl/>
              <w:ind w:firstLine="24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  <w:t>比上年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增长</w:t>
            </w:r>
          </w:p>
        </w:tc>
      </w:tr>
      <w:tr w14:paraId="0CCA28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3062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57569FF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货物运输总量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4B1F2F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万吨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32E45C8">
            <w:pPr>
              <w:widowControl/>
              <w:ind w:firstLine="24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8"/>
                <w:szCs w:val="28"/>
                <w:lang w:val="en-US" w:eastAsia="zh-CN"/>
              </w:rPr>
              <w:t>6931.8</w:t>
            </w:r>
          </w:p>
        </w:tc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0A6B1916">
            <w:pPr>
              <w:widowControl/>
              <w:ind w:firstLine="24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 6.5%</w:t>
            </w:r>
          </w:p>
        </w:tc>
      </w:tr>
      <w:tr w14:paraId="5AC25F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306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DE67C3C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其中：铁路</w:t>
            </w:r>
          </w:p>
        </w:tc>
        <w:tc>
          <w:tcPr>
            <w:tcW w:w="14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FEBC69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万吨</w:t>
            </w:r>
          </w:p>
        </w:tc>
        <w:tc>
          <w:tcPr>
            <w:tcW w:w="153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0E4E347">
            <w:pPr>
              <w:widowControl/>
              <w:ind w:firstLine="24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8"/>
                <w:szCs w:val="28"/>
                <w:lang w:val="en-US" w:eastAsia="zh-CN"/>
              </w:rPr>
              <w:t>1771.6</w:t>
            </w:r>
          </w:p>
        </w:tc>
        <w:tc>
          <w:tcPr>
            <w:tcW w:w="2245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5B9C272">
            <w:pPr>
              <w:widowControl/>
              <w:ind w:firstLine="24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8"/>
                <w:szCs w:val="28"/>
                <w:lang w:val="en-US" w:eastAsia="zh-CN"/>
              </w:rPr>
              <w:t>26.1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8"/>
                <w:szCs w:val="28"/>
                <w:lang w:val="en-US" w:eastAsia="zh-CN"/>
              </w:rPr>
              <w:t>%</w:t>
            </w:r>
          </w:p>
        </w:tc>
      </w:tr>
      <w:tr w14:paraId="309DE1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306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B124412">
            <w:pPr>
              <w:widowControl/>
              <w:ind w:firstLine="840" w:firstLineChars="30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公路</w:t>
            </w:r>
          </w:p>
        </w:tc>
        <w:tc>
          <w:tcPr>
            <w:tcW w:w="14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1CDE65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万吨</w:t>
            </w:r>
          </w:p>
        </w:tc>
        <w:tc>
          <w:tcPr>
            <w:tcW w:w="153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752C6DB">
            <w:pPr>
              <w:widowControl/>
              <w:ind w:firstLine="24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8"/>
                <w:szCs w:val="28"/>
                <w:lang w:val="en-US" w:eastAsia="zh-CN"/>
              </w:rPr>
              <w:t>4954.8</w:t>
            </w:r>
          </w:p>
        </w:tc>
        <w:tc>
          <w:tcPr>
            <w:tcW w:w="2245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185CEB32">
            <w:pPr>
              <w:widowControl/>
              <w:ind w:firstLine="24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8"/>
                <w:szCs w:val="28"/>
                <w:lang w:val="en-US" w:eastAsia="zh-CN"/>
              </w:rPr>
              <w:t>2.2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8"/>
                <w:szCs w:val="28"/>
              </w:rPr>
              <w:t>%</w:t>
            </w:r>
          </w:p>
        </w:tc>
      </w:tr>
      <w:tr w14:paraId="5B3BA8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306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F7EEB77">
            <w:pPr>
              <w:widowControl/>
              <w:ind w:firstLine="840" w:firstLineChars="30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水路</w:t>
            </w:r>
          </w:p>
        </w:tc>
        <w:tc>
          <w:tcPr>
            <w:tcW w:w="14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0D3571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万吨</w:t>
            </w:r>
          </w:p>
        </w:tc>
        <w:tc>
          <w:tcPr>
            <w:tcW w:w="153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D5F9E92">
            <w:pPr>
              <w:widowControl/>
              <w:ind w:firstLine="24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8"/>
                <w:szCs w:val="28"/>
                <w:lang w:val="en-US" w:eastAsia="zh-CN"/>
              </w:rPr>
              <w:t>205.2</w:t>
            </w:r>
          </w:p>
        </w:tc>
        <w:tc>
          <w:tcPr>
            <w:tcW w:w="2245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326763EA">
            <w:pPr>
              <w:widowControl/>
              <w:ind w:firstLine="24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8"/>
                <w:szCs w:val="28"/>
                <w:lang w:val="en-US" w:eastAsia="zh-CN"/>
              </w:rPr>
              <w:t>-19.5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8"/>
                <w:szCs w:val="28"/>
              </w:rPr>
              <w:t>%</w:t>
            </w:r>
          </w:p>
        </w:tc>
      </w:tr>
      <w:tr w14:paraId="66C88B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306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D8F8344">
            <w:pPr>
              <w:widowControl/>
              <w:ind w:firstLine="840" w:firstLineChars="30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航空</w:t>
            </w:r>
          </w:p>
        </w:tc>
        <w:tc>
          <w:tcPr>
            <w:tcW w:w="1450" w:type="dxa"/>
            <w:tcBorders>
              <w:top w:val="nil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8BC51A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  <w:t>万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吨</w:t>
            </w:r>
          </w:p>
        </w:tc>
        <w:tc>
          <w:tcPr>
            <w:tcW w:w="1531" w:type="dxa"/>
            <w:tcBorders>
              <w:top w:val="nil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FBC9E14">
            <w:pPr>
              <w:widowControl/>
              <w:ind w:firstLine="24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   0.15</w:t>
            </w:r>
          </w:p>
        </w:tc>
        <w:tc>
          <w:tcPr>
            <w:tcW w:w="2245" w:type="dxa"/>
            <w:tcBorders>
              <w:top w:val="nil"/>
              <w:left w:val="single" w:color="auto" w:sz="4" w:space="0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223B5F6D">
            <w:pPr>
              <w:widowControl/>
              <w:ind w:firstLine="24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8"/>
                <w:szCs w:val="28"/>
                <w:lang w:val="en-US" w:eastAsia="zh-CN"/>
              </w:rPr>
              <w:t>-32.9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8"/>
                <w:szCs w:val="28"/>
              </w:rPr>
              <w:t>%</w:t>
            </w:r>
          </w:p>
        </w:tc>
      </w:tr>
    </w:tbl>
    <w:p w14:paraId="165B89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全年主要运输方式完成客运量1045.2万人次，其中，铁路823.6万人次，公路118.3万人次，水路15.7万人次，航空87.6万人次。全年实现航空飞行6540架次。</w:t>
      </w:r>
    </w:p>
    <w:tbl>
      <w:tblPr>
        <w:tblStyle w:val="10"/>
        <w:tblW w:w="8262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2"/>
        <w:gridCol w:w="1475"/>
        <w:gridCol w:w="1525"/>
        <w:gridCol w:w="2210"/>
      </w:tblGrid>
      <w:tr w14:paraId="0FBE59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tblHeader/>
        </w:trPr>
        <w:tc>
          <w:tcPr>
            <w:tcW w:w="8262" w:type="dxa"/>
            <w:gridSpan w:val="4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78D4D4F1">
            <w:pPr>
              <w:ind w:firstLine="320"/>
              <w:jc w:val="center"/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0"/>
                <w:szCs w:val="30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0"/>
                <w:szCs w:val="30"/>
                <w:lang w:val="en-US" w:eastAsia="zh-CN"/>
              </w:rPr>
              <w:t>5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0"/>
                <w:szCs w:val="30"/>
              </w:rPr>
              <w:t>年主要运输方式完成旅客运输量及其增长速度</w:t>
            </w:r>
          </w:p>
        </w:tc>
      </w:tr>
      <w:tr w14:paraId="1C04FC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tblHeader/>
        </w:trPr>
        <w:tc>
          <w:tcPr>
            <w:tcW w:w="305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8DFF5E9">
            <w:pPr>
              <w:widowControl/>
              <w:ind w:firstLine="240"/>
              <w:jc w:val="center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 xml:space="preserve">指 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标</w:t>
            </w:r>
          </w:p>
        </w:tc>
        <w:tc>
          <w:tcPr>
            <w:tcW w:w="1475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A295FA0">
            <w:pPr>
              <w:widowControl/>
              <w:ind w:firstLine="240"/>
              <w:jc w:val="center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 xml:space="preserve">单 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位</w:t>
            </w:r>
          </w:p>
        </w:tc>
        <w:tc>
          <w:tcPr>
            <w:tcW w:w="1525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CC52C7C">
            <w:pPr>
              <w:widowControl/>
              <w:ind w:firstLine="240"/>
              <w:jc w:val="center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绝对数</w:t>
            </w:r>
          </w:p>
        </w:tc>
        <w:tc>
          <w:tcPr>
            <w:tcW w:w="221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099B9CBF">
            <w:pPr>
              <w:widowControl/>
              <w:ind w:firstLine="240"/>
              <w:jc w:val="center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eastAsia="zh-CN"/>
              </w:rPr>
              <w:t>比上年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增长</w:t>
            </w:r>
          </w:p>
        </w:tc>
      </w:tr>
      <w:tr w14:paraId="5608C5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3052" w:type="dxa"/>
            <w:tcBorders>
              <w:top w:val="single" w:color="auto" w:sz="12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45221D4">
            <w:pPr>
              <w:widowControl/>
              <w:jc w:val="both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旅客运输总量</w:t>
            </w:r>
          </w:p>
        </w:tc>
        <w:tc>
          <w:tcPr>
            <w:tcW w:w="1475" w:type="dxa"/>
            <w:tcBorders>
              <w:top w:val="single" w:color="auto" w:sz="12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20790AC">
            <w:pPr>
              <w:widowControl/>
              <w:ind w:firstLine="240"/>
              <w:jc w:val="center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万人次</w:t>
            </w:r>
          </w:p>
        </w:tc>
        <w:tc>
          <w:tcPr>
            <w:tcW w:w="1525" w:type="dxa"/>
            <w:tcBorders>
              <w:top w:val="single" w:color="auto" w:sz="12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B8EF9C8">
            <w:pPr>
              <w:widowControl/>
              <w:ind w:firstLine="240"/>
              <w:jc w:val="center"/>
              <w:rPr>
                <w:rFonts w:hint="default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1045.2</w:t>
            </w:r>
          </w:p>
        </w:tc>
        <w:tc>
          <w:tcPr>
            <w:tcW w:w="2210" w:type="dxa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567" w:type="dxa"/>
            </w:tcMar>
            <w:vAlign w:val="center"/>
          </w:tcPr>
          <w:p w14:paraId="7D2A3360">
            <w:pPr>
              <w:widowControl/>
              <w:ind w:firstLine="240"/>
              <w:jc w:val="right"/>
              <w:rPr>
                <w:rFonts w:hint="default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23.9%</w:t>
            </w:r>
          </w:p>
        </w:tc>
      </w:tr>
      <w:tr w14:paraId="1E73A8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305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6FD2F4C">
            <w:pPr>
              <w:widowControl/>
              <w:jc w:val="lef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其中：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铁路</w:t>
            </w:r>
          </w:p>
        </w:tc>
        <w:tc>
          <w:tcPr>
            <w:tcW w:w="14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C90BF71">
            <w:pPr>
              <w:widowControl/>
              <w:ind w:firstLine="240"/>
              <w:jc w:val="center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万人次</w:t>
            </w:r>
          </w:p>
        </w:tc>
        <w:tc>
          <w:tcPr>
            <w:tcW w:w="152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2FC7D0F">
            <w:pPr>
              <w:widowControl/>
              <w:ind w:firstLine="240"/>
              <w:jc w:val="center"/>
              <w:rPr>
                <w:rFonts w:hint="default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 xml:space="preserve"> 823.6</w:t>
            </w:r>
          </w:p>
        </w:tc>
        <w:tc>
          <w:tcPr>
            <w:tcW w:w="221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567" w:type="dxa"/>
            </w:tcMar>
            <w:vAlign w:val="center"/>
          </w:tcPr>
          <w:p w14:paraId="4F77F081">
            <w:pPr>
              <w:widowControl/>
              <w:ind w:firstLine="240"/>
              <w:jc w:val="righ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 xml:space="preserve">42.4% </w:t>
            </w:r>
          </w:p>
        </w:tc>
      </w:tr>
      <w:tr w14:paraId="3B14AF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05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9782B49">
            <w:pPr>
              <w:widowControl/>
              <w:ind w:firstLine="840" w:firstLineChars="300"/>
              <w:jc w:val="left"/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公路</w:t>
            </w:r>
          </w:p>
        </w:tc>
        <w:tc>
          <w:tcPr>
            <w:tcW w:w="14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8720DF3">
            <w:pPr>
              <w:widowControl/>
              <w:ind w:firstLine="240"/>
              <w:jc w:val="center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万人次</w:t>
            </w:r>
          </w:p>
        </w:tc>
        <w:tc>
          <w:tcPr>
            <w:tcW w:w="152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22E1010">
            <w:pPr>
              <w:widowControl/>
              <w:ind w:firstLine="240"/>
              <w:jc w:val="center"/>
              <w:rPr>
                <w:rFonts w:hint="default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 xml:space="preserve"> 118.3</w:t>
            </w:r>
          </w:p>
        </w:tc>
        <w:tc>
          <w:tcPr>
            <w:tcW w:w="221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567" w:type="dxa"/>
            </w:tcMar>
            <w:vAlign w:val="center"/>
          </w:tcPr>
          <w:p w14:paraId="3E50B593">
            <w:pPr>
              <w:widowControl/>
              <w:ind w:firstLine="240"/>
              <w:jc w:val="righ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-14.7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%</w:t>
            </w:r>
          </w:p>
        </w:tc>
      </w:tr>
      <w:tr w14:paraId="7DDC59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05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C2F7DE8">
            <w:pPr>
              <w:widowControl/>
              <w:ind w:firstLine="840" w:firstLineChars="300"/>
              <w:jc w:val="lef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水路</w:t>
            </w:r>
          </w:p>
        </w:tc>
        <w:tc>
          <w:tcPr>
            <w:tcW w:w="14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FC3F08F">
            <w:pPr>
              <w:widowControl/>
              <w:ind w:firstLine="240"/>
              <w:jc w:val="center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万人次</w:t>
            </w:r>
          </w:p>
        </w:tc>
        <w:tc>
          <w:tcPr>
            <w:tcW w:w="152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D8D7D22">
            <w:pPr>
              <w:widowControl/>
              <w:ind w:firstLine="240"/>
              <w:jc w:val="center"/>
              <w:rPr>
                <w:rFonts w:hint="default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 xml:space="preserve">  15.7</w:t>
            </w:r>
          </w:p>
        </w:tc>
        <w:tc>
          <w:tcPr>
            <w:tcW w:w="221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567" w:type="dxa"/>
            </w:tcMar>
            <w:vAlign w:val="center"/>
          </w:tcPr>
          <w:p w14:paraId="38FB56FB">
            <w:pPr>
              <w:widowControl/>
              <w:ind w:firstLine="240"/>
              <w:jc w:val="right"/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-1.9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%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 w14:paraId="412015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305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0D973B9">
            <w:pPr>
              <w:widowControl/>
              <w:ind w:firstLine="840" w:firstLineChars="300"/>
              <w:jc w:val="lef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航空</w:t>
            </w:r>
          </w:p>
        </w:tc>
        <w:tc>
          <w:tcPr>
            <w:tcW w:w="1475" w:type="dxa"/>
            <w:tcBorders>
              <w:top w:val="nil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4A9A7D4">
            <w:pPr>
              <w:widowControl/>
              <w:ind w:firstLine="240"/>
              <w:jc w:val="center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万人次</w:t>
            </w:r>
          </w:p>
        </w:tc>
        <w:tc>
          <w:tcPr>
            <w:tcW w:w="1525" w:type="dxa"/>
            <w:tcBorders>
              <w:top w:val="nil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40A2D89">
            <w:pPr>
              <w:widowControl/>
              <w:ind w:firstLine="240"/>
              <w:jc w:val="center"/>
              <w:rPr>
                <w:rFonts w:hint="default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 xml:space="preserve"> 87.6</w:t>
            </w:r>
          </w:p>
        </w:tc>
        <w:tc>
          <w:tcPr>
            <w:tcW w:w="2210" w:type="dxa"/>
            <w:tcBorders>
              <w:top w:val="nil"/>
              <w:left w:val="single" w:color="auto" w:sz="4" w:space="0"/>
              <w:bottom w:val="single" w:color="auto" w:sz="12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567" w:type="dxa"/>
            </w:tcMar>
            <w:vAlign w:val="center"/>
          </w:tcPr>
          <w:p w14:paraId="239186F7">
            <w:pPr>
              <w:widowControl/>
              <w:ind w:firstLine="240"/>
              <w:jc w:val="right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-20.6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%</w:t>
            </w:r>
          </w:p>
        </w:tc>
      </w:tr>
    </w:tbl>
    <w:p w14:paraId="0EF377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60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全年实现邮政业务总量4.8亿元，比上年下降12.7%。实现电信业务总量14.9亿元，其中中国电信2.6亿元、中国联通4.4亿元、中国移动7.9亿元；移动电话用户267.7万户，其中中国电信45万户、中国联通72.7万户、中国移动150万户。互联网用户87.8万户，其中中国电信19.1万户、中国联通33.7万户、中国移动35万户。</w:t>
      </w:r>
    </w:p>
    <w:p w14:paraId="348D65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70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七、对外经济</w:t>
      </w:r>
    </w:p>
    <w:p w14:paraId="15F425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全年实现外贸进出口额109.7亿元，比上年增长13.0%。其中出口额为67.5亿元，增长20.8%；进口额为42.1亿元，增长2.4%。</w:t>
      </w:r>
    </w:p>
    <w:p w14:paraId="5CB3C339">
      <w:pPr>
        <w:pStyle w:val="2"/>
        <w:rPr>
          <w:rFonts w:hint="eastAsia"/>
          <w:lang w:val="en-US" w:eastAsia="zh-CN"/>
        </w:rPr>
      </w:pPr>
    </w:p>
    <w:p w14:paraId="5A4E99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70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八、财政金融</w:t>
      </w:r>
    </w:p>
    <w:p w14:paraId="33CB31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全年实现一般公共预算收入83.5亿元，比上年增长2.5%。其中，税收收入31.5亿元，增长7.1%。主体税种中，国内增值税收入8.4亿元，下降3.7%；企业所得税收入3.4亿元，下降14.5%。一般公共预算支出408.2亿元，比上年下降1.8%。其中，社会保障和就业支出91.2亿元，增长4.0%。</w:t>
      </w:r>
    </w:p>
    <w:p w14:paraId="6530D3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全市金融机构本外币各项存款余额2868.7亿元，比上年增长8.8%。其中，住户存款2471.3亿元，增长8.8%。金融机构本外币各项贷款余额2307.7亿元，比上年增长5.4%。其中，住户贷款556.9亿元，增长11.8%；短期贷款277.6亿元，增长19.1%。</w:t>
      </w:r>
    </w:p>
    <w:p w14:paraId="677070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全年保险保费收入84.1亿元，比上年增长7.8%；保险保费支出34.9亿元，比上年增长2.5%。</w:t>
      </w:r>
    </w:p>
    <w:p w14:paraId="799D15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70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九、教育和科学技术</w:t>
      </w:r>
    </w:p>
    <w:p w14:paraId="51197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FF0000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年末全市共有普通高校5所，招生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17151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（不含成人教育及国际学生）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，其中：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博士生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46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人，硕士研究生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1134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人，本科生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8068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人，大专生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7903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人；在校生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54641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人，其中：博士生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199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人，硕士研究生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3299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人，本科生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30057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人，大专生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21086人；毕业生14270人，其中：博士生27人，硕士研究生995人，本科生7532人，大专生5716人。成人高等学校招生2322人，在校生8953人，毕业生2328人；成人专科招生176人，在校生532人，毕业生26人。</w:t>
      </w:r>
      <w:bookmarkStart w:id="1" w:name="_GoBack"/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中等职业学校（市管）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所，招生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2746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人，在校生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9513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人，毕业生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4258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人。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特殊教育学校5所，招生98人，在校生738人，毕业生163人。普通中学127所，招生28902人，在校生86119人，毕业生31269人。小学91所，招生10044人，在校生70885人，毕业生15117人。幼儿园291所，招收幼儿6326人，在园幼儿20589人，离园幼儿9379人。</w:t>
      </w:r>
      <w:bookmarkEnd w:id="1"/>
    </w:p>
    <w:p w14:paraId="13F994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全市新增国省级科技创新平台10家，总量跃升至90家，同比增长12.5%，创新平台“集群效应”持续释放。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科技型中小企业数量首次突破300家大关，达到309家，科小注册企业增长11.21%，位列全省综合型城市第1；入库企业数量、评价入库率达99.68%，均列全省综合型城市第2位。13户企业（10户规上）通过省级高新企业认定，数量位居全省第3。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聚焦智能农机、新材料等重点产业领域，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争取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9项省级关键技术攻关项目落地。组织开展市级关键技术攻关项目30项，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同比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增长42.9%。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全力实施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"/>
        </w:rPr>
        <w:t>成果产业化突破年行动，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全市高技术制造业增加值同比增长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30.6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%，增速位居全省前列；推广大垄密植栽培技术面积560.7万亩，目标完成率102.3%；建设战略性新兴产业项目25项，项目开工率100%；重点实验室总体产生经济效益1584.48万元，完成率102.2%。完成技术合同登记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404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项、科技成果登记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60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项，举办成果路演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32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场，发布科技成果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135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项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，共推动转化科技成果120项，其中重大科技成果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" w:eastAsia="zh-CN"/>
        </w:rPr>
        <w:t>45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项，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新增营收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8.28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亿元，同比增长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38%，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000000"/>
          <w:sz w:val="32"/>
          <w:szCs w:val="32"/>
          <w:lang w:val="en-US" w:eastAsia="zh-CN"/>
        </w:rPr>
        <w:t>科技赋能产业实效显著。</w:t>
      </w:r>
    </w:p>
    <w:p w14:paraId="7FE856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70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十、文化旅游和广播</w:t>
      </w:r>
    </w:p>
    <w:p w14:paraId="2DAF14B1">
      <w:pPr>
        <w:ind w:firstLine="640" w:firstLineChars="200"/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全市有图书馆7个，</w:t>
      </w:r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总流通1516426人次。</w:t>
      </w:r>
      <w:r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博物馆</w:t>
      </w:r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1</w:t>
      </w:r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个，群众艺术馆11个，乡镇文化站74个，国家级文物保护单位4处，省级文化保护单位</w:t>
      </w:r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30</w:t>
      </w:r>
      <w:r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处，国家级非物质文化遗产4项，省级非物质文化遗产</w:t>
      </w:r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55</w:t>
      </w:r>
      <w:r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项。</w:t>
      </w:r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有线电视实际用户</w:t>
      </w:r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万户，其中有线数字电视实际用户</w:t>
      </w:r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万户。</w:t>
      </w:r>
      <w:r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全市广播电视综合覆盖率达100</w:t>
      </w:r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.0</w:t>
      </w:r>
      <w:r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%。</w:t>
      </w:r>
    </w:p>
    <w:p w14:paraId="153F20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FF0000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全年游客人数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  <w:lang w:val="en-US" w:eastAsia="zh-CN"/>
        </w:rPr>
        <w:t>2329.5</w:t>
      </w:r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万人次</w:t>
      </w:r>
      <w:r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，旅游收入</w:t>
      </w:r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174.7</w:t>
      </w:r>
      <w:r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亿元。A级以上旅游景区数3</w:t>
      </w:r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家，其中，4A级</w:t>
      </w:r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1</w:t>
      </w:r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家、3A级2</w:t>
      </w:r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家，国家级乡村旅游重点村5家、省级旅游重点村</w:t>
      </w:r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7</w:t>
      </w:r>
      <w:r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家，省级旅游度假区</w:t>
      </w:r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个</w:t>
      </w:r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，SSS级雪场1家</w:t>
      </w:r>
      <w:r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。旅行社</w:t>
      </w:r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84</w:t>
      </w:r>
      <w:r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家，星级饭店</w:t>
      </w:r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11</w:t>
      </w:r>
      <w:r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家。</w:t>
      </w:r>
    </w:p>
    <w:p w14:paraId="2735B8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70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十一、卫生健康和体育</w:t>
      </w:r>
    </w:p>
    <w:p w14:paraId="01FEAA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截至2025年末，佳木斯市共有医疗卫生机构2233个，其中：市区765个，各县（市）1468个。医院100个，其中：三级医院11个，二级医院19个，一级医院38个，其他32个。基层医疗卫生机构2093个，其中：社区卫生服务中心（站）50个、乡镇卫生院83个、门诊部及诊所935个、村卫生室1025个。专业公共卫生机构33个，其中：疾病预防控制中心12个，妇幼保健机构12个（三级妇幼保健院1个），专科疾病防治机构3个（其中三级防治院1个），急救中心2个，采供血机构4个。其他卫生机构7个。全市医疗卫生机构实有床位15139张，在岗职工26388人，其中：卫生技术人员21417人（其中执业医师8551人，注册护士9498人）医护比1:1.12,药师（士）769人，技师（士）1129人。</w:t>
      </w:r>
    </w:p>
    <w:p w14:paraId="4E2126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截至2025年末，全市发放健身设施41套，价值642.5万元。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市县两级举办全民健身赛事、活动等175场次，直接参与7万余人。新储备社会体育指导员265人，其中国家级25人、一级40人、二级200人，新增万村女性社会体育指导员300余人，现有社会体育指导员6744人，在2025年全国社会体育指导员网络交流展示大赛中，佳木斯森养拍手健身广场舞俱乐部获一等奖。体育类社会团体组织总数达到67个，其中单项协会30个，单项体育俱乐部37个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全年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斩获省级及以上奖牌452枚，较上年增长36.14%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成功举办雪地足球、高山滑雪、冰球、速度滑冰等系列冰雪赛事61场次，直接参与人数2.98万人次。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全年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完成27家体彩网点升级改造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体育彩票销售额达4.68亿元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成功获批全省首批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即开型彩票高效物流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试点。</w:t>
      </w:r>
    </w:p>
    <w:p w14:paraId="350BB7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70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十二、社会保障</w:t>
      </w:r>
    </w:p>
    <w:p w14:paraId="651E7F4D">
      <w:pPr>
        <w:ind w:firstLine="640" w:firstLineChars="200"/>
        <w:jc w:val="both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lang w:val="en-US" w:eastAsia="zh-CN"/>
        </w:rPr>
        <w:t>截至2025年末，全市城乡居民社会养老保险参保人数为59.8万人，享受养老保险金待遇人数28.2万人，城乡居民养老保险收入为12710.5万元。机关事业单位养老保险的养老金当期收缴额为114668万元，拨付额为322950万元。企业养老保险参保人数（城镇）为409912人，离退休人数为332708人。失业保险参保人数为218382人，享受失业待遇人数为2308人。</w:t>
      </w:r>
    </w:p>
    <w:p w14:paraId="1AE40E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70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十三、环境与保护</w:t>
      </w:r>
    </w:p>
    <w:p w14:paraId="1CDF2BF4">
      <w:pPr>
        <w:pStyle w:val="9"/>
        <w:widowControl/>
        <w:shd w:val="clear" w:color="auto" w:fill="FFFFFF"/>
        <w:ind w:firstLine="640" w:firstLineChars="200"/>
        <w:jc w:val="both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2025年，我市环境空气质量优良天数比例91.8%，PM2.5年均浓度29μg/m³，PM10年均浓度41微克/立方米，全省综合类城市排名第一。县级以上水源地源水水质达标率保持100%（不计铁、锰背景值影响）。全年地表水优良水体比例80%，达到省定目标。佳木斯市松花江成功创建为省级美丽河湖。重点建设用地安全利用率保持100%。完成488个行政村环境整治和513个行政村生活污水治理。建成全省唯一地下水污染防治试验区，全国考评“优秀”。</w:t>
      </w:r>
    </w:p>
    <w:p w14:paraId="2514C549">
      <w:pPr>
        <w:pStyle w:val="9"/>
        <w:widowControl/>
        <w:shd w:val="clear" w:color="auto" w:fill="FFFFFF"/>
        <w:ind w:firstLine="640" w:firstLineChars="200"/>
        <w:jc w:val="both"/>
        <w:rPr>
          <w:rFonts w:hint="default" w:ascii="Times New Roman" w:hAnsi="Times New Roman" w:eastAsia="仿宋_GB2312"/>
          <w:color w:val="FF0000"/>
          <w:sz w:val="32"/>
          <w:szCs w:val="32"/>
        </w:rPr>
      </w:pPr>
    </w:p>
    <w:bookmarkEnd w:id="0"/>
    <w:p w14:paraId="6D21E396">
      <w:pPr>
        <w:jc w:val="left"/>
        <w:rPr>
          <w:rFonts w:ascii="Times New Roman" w:hAnsi="Times New Roman"/>
          <w:color w:val="auto"/>
        </w:rPr>
      </w:pPr>
      <w:r>
        <w:rPr>
          <w:rFonts w:hint="eastAsia" w:ascii="Times New Roman" w:hAnsi="Times New Roman" w:eastAsia="仿宋_GB2312" w:cs="Times New Roman"/>
          <w:snapToGrid w:val="0"/>
          <w:color w:val="auto"/>
          <w:sz w:val="24"/>
          <w:szCs w:val="24"/>
          <w:lang w:val="en-US" w:eastAsia="zh-CN"/>
        </w:rPr>
        <w:t>注释：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24"/>
          <w:szCs w:val="24"/>
          <w:lang w:val="en-US" w:eastAsia="zh-CN"/>
        </w:rPr>
        <w:t>本公报中202</w:t>
      </w:r>
      <w:r>
        <w:rPr>
          <w:rFonts w:hint="eastAsia" w:ascii="Times New Roman" w:hAnsi="Times New Roman" w:eastAsia="仿宋_GB2312" w:cs="Times New Roman"/>
          <w:snapToGrid w:val="0"/>
          <w:color w:val="auto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24"/>
          <w:szCs w:val="24"/>
          <w:lang w:val="en-US" w:eastAsia="zh-CN"/>
        </w:rPr>
        <w:t>年数据均为初步统计数。部分数据因四舍五入，存在</w:t>
      </w:r>
      <w:r>
        <w:rPr>
          <w:rFonts w:hint="eastAsia" w:ascii="Times New Roman" w:hAnsi="Times New Roman" w:eastAsia="仿宋_GB2312" w:cs="Times New Roman"/>
          <w:snapToGrid w:val="0"/>
          <w:color w:val="auto"/>
          <w:sz w:val="24"/>
          <w:szCs w:val="24"/>
          <w:lang w:val="en-US" w:eastAsia="zh-CN"/>
        </w:rPr>
        <w:t>总项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24"/>
          <w:szCs w:val="24"/>
          <w:lang w:val="en-US" w:eastAsia="zh-CN"/>
        </w:rPr>
        <w:t>与分项合计不等</w:t>
      </w:r>
      <w:r>
        <w:rPr>
          <w:rFonts w:hint="eastAsia" w:ascii="Times New Roman" w:hAnsi="Times New Roman" w:eastAsia="仿宋_GB2312" w:cs="Times New Roman"/>
          <w:snapToGrid w:val="0"/>
          <w:color w:val="auto"/>
          <w:sz w:val="24"/>
          <w:szCs w:val="24"/>
          <w:lang w:val="en-US" w:eastAsia="zh-CN"/>
        </w:rPr>
        <w:t>或百分比存在少量差异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24"/>
          <w:szCs w:val="24"/>
          <w:lang w:val="en-US" w:eastAsia="zh-CN"/>
        </w:rPr>
        <w:t>的情况。</w:t>
      </w: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2423963"/>
    </w:sdtPr>
    <w:sdtContent>
      <w:p w14:paraId="643E3751">
        <w:pPr>
          <w:pStyle w:val="7"/>
          <w:ind w:firstLine="180"/>
          <w:jc w:val="center"/>
        </w:pPr>
        <w:r>
          <w:rPr>
            <w:rFonts w:hint="eastAsia" w:asciiTheme="majorEastAsia" w:hAnsiTheme="majorEastAsia" w:eastAsiaTheme="majorEastAsia" w:cstheme="majorEastAsia"/>
            <w:sz w:val="32"/>
            <w:szCs w:val="32"/>
          </w:rPr>
          <w:fldChar w:fldCharType="begin"/>
        </w:r>
        <w:r>
          <w:rPr>
            <w:rFonts w:hint="eastAsia" w:asciiTheme="majorEastAsia" w:hAnsiTheme="majorEastAsia" w:eastAsiaTheme="majorEastAsia" w:cstheme="majorEastAsia"/>
            <w:sz w:val="32"/>
            <w:szCs w:val="32"/>
          </w:rPr>
          <w:instrText xml:space="preserve"> PAGE   \* MERGEFORMAT </w:instrText>
        </w:r>
        <w:r>
          <w:rPr>
            <w:rFonts w:hint="eastAsia" w:asciiTheme="majorEastAsia" w:hAnsiTheme="majorEastAsia" w:eastAsiaTheme="majorEastAsia" w:cstheme="majorEastAsia"/>
            <w:sz w:val="32"/>
            <w:szCs w:val="32"/>
          </w:rPr>
          <w:fldChar w:fldCharType="separate"/>
        </w:r>
        <w:r>
          <w:rPr>
            <w:rFonts w:hint="eastAsia" w:asciiTheme="majorEastAsia" w:hAnsiTheme="majorEastAsia" w:eastAsiaTheme="majorEastAsia" w:cstheme="majorEastAsia"/>
            <w:sz w:val="32"/>
            <w:szCs w:val="32"/>
            <w:lang w:val="zh-CN"/>
          </w:rPr>
          <w:t>-</w:t>
        </w:r>
        <w:r>
          <w:rPr>
            <w:rFonts w:hint="eastAsia" w:asciiTheme="majorEastAsia" w:hAnsiTheme="majorEastAsia" w:eastAsiaTheme="majorEastAsia" w:cstheme="majorEastAsia"/>
            <w:sz w:val="32"/>
            <w:szCs w:val="32"/>
          </w:rPr>
          <w:t xml:space="preserve"> 2 -</w:t>
        </w:r>
        <w:r>
          <w:rPr>
            <w:rFonts w:hint="eastAsia" w:asciiTheme="majorEastAsia" w:hAnsiTheme="majorEastAsia" w:eastAsiaTheme="majorEastAsia" w:cstheme="majorEastAsia"/>
            <w:sz w:val="32"/>
            <w:szCs w:val="32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0NTY5ZThkMDFjMjk2MjEzNmM5N2M5MThjMTg2MzEifQ=="/>
  </w:docVars>
  <w:rsids>
    <w:rsidRoot w:val="0035244D"/>
    <w:rsid w:val="00006AFD"/>
    <w:rsid w:val="0004289C"/>
    <w:rsid w:val="0005255F"/>
    <w:rsid w:val="000601EE"/>
    <w:rsid w:val="00072439"/>
    <w:rsid w:val="00074D9D"/>
    <w:rsid w:val="00083F6A"/>
    <w:rsid w:val="000A14D7"/>
    <w:rsid w:val="000A1D89"/>
    <w:rsid w:val="000B368D"/>
    <w:rsid w:val="000E2CDD"/>
    <w:rsid w:val="000E3981"/>
    <w:rsid w:val="000E40AB"/>
    <w:rsid w:val="000F10DE"/>
    <w:rsid w:val="00105642"/>
    <w:rsid w:val="00124D44"/>
    <w:rsid w:val="00132074"/>
    <w:rsid w:val="001372E2"/>
    <w:rsid w:val="00162F4B"/>
    <w:rsid w:val="00183DF6"/>
    <w:rsid w:val="001A3E88"/>
    <w:rsid w:val="001A4277"/>
    <w:rsid w:val="001B576E"/>
    <w:rsid w:val="001C1ED5"/>
    <w:rsid w:val="001C7FDF"/>
    <w:rsid w:val="001D2FF9"/>
    <w:rsid w:val="001D5D07"/>
    <w:rsid w:val="001E2C63"/>
    <w:rsid w:val="001F3471"/>
    <w:rsid w:val="00205FBA"/>
    <w:rsid w:val="00224C1B"/>
    <w:rsid w:val="00245090"/>
    <w:rsid w:val="00286983"/>
    <w:rsid w:val="00287ADC"/>
    <w:rsid w:val="002A20E5"/>
    <w:rsid w:val="002B7BE8"/>
    <w:rsid w:val="002C64B7"/>
    <w:rsid w:val="002D0072"/>
    <w:rsid w:val="002D056B"/>
    <w:rsid w:val="002D3DB9"/>
    <w:rsid w:val="002D5489"/>
    <w:rsid w:val="002D559C"/>
    <w:rsid w:val="002E0D57"/>
    <w:rsid w:val="0030095B"/>
    <w:rsid w:val="00301CE8"/>
    <w:rsid w:val="003072E3"/>
    <w:rsid w:val="00313A58"/>
    <w:rsid w:val="003263A4"/>
    <w:rsid w:val="003266A5"/>
    <w:rsid w:val="00326741"/>
    <w:rsid w:val="00334346"/>
    <w:rsid w:val="003420F1"/>
    <w:rsid w:val="003423B1"/>
    <w:rsid w:val="00343417"/>
    <w:rsid w:val="00343C1E"/>
    <w:rsid w:val="0035244D"/>
    <w:rsid w:val="00362773"/>
    <w:rsid w:val="00367488"/>
    <w:rsid w:val="003703B7"/>
    <w:rsid w:val="003774E2"/>
    <w:rsid w:val="00393278"/>
    <w:rsid w:val="003A07BD"/>
    <w:rsid w:val="003A0D05"/>
    <w:rsid w:val="003C0649"/>
    <w:rsid w:val="003C7F30"/>
    <w:rsid w:val="00406386"/>
    <w:rsid w:val="00415953"/>
    <w:rsid w:val="0042088C"/>
    <w:rsid w:val="004342AD"/>
    <w:rsid w:val="004375E8"/>
    <w:rsid w:val="00491CD2"/>
    <w:rsid w:val="004A1407"/>
    <w:rsid w:val="004B5EAD"/>
    <w:rsid w:val="004E0D7B"/>
    <w:rsid w:val="004E7BA6"/>
    <w:rsid w:val="0050144E"/>
    <w:rsid w:val="0054435F"/>
    <w:rsid w:val="00586294"/>
    <w:rsid w:val="0059777D"/>
    <w:rsid w:val="005D1952"/>
    <w:rsid w:val="005E16C5"/>
    <w:rsid w:val="005F10EC"/>
    <w:rsid w:val="00607B3F"/>
    <w:rsid w:val="00614B5E"/>
    <w:rsid w:val="006210D0"/>
    <w:rsid w:val="00623C3F"/>
    <w:rsid w:val="00636D70"/>
    <w:rsid w:val="006557C6"/>
    <w:rsid w:val="006658AE"/>
    <w:rsid w:val="0067552E"/>
    <w:rsid w:val="0067692A"/>
    <w:rsid w:val="006950E7"/>
    <w:rsid w:val="006963B3"/>
    <w:rsid w:val="006A2A0D"/>
    <w:rsid w:val="006B2E41"/>
    <w:rsid w:val="006B7BBE"/>
    <w:rsid w:val="006D058F"/>
    <w:rsid w:val="00717442"/>
    <w:rsid w:val="00732C48"/>
    <w:rsid w:val="00753439"/>
    <w:rsid w:val="00777FC0"/>
    <w:rsid w:val="007A3055"/>
    <w:rsid w:val="007D2806"/>
    <w:rsid w:val="007E358F"/>
    <w:rsid w:val="00803AE0"/>
    <w:rsid w:val="00813A3B"/>
    <w:rsid w:val="008335B0"/>
    <w:rsid w:val="00836367"/>
    <w:rsid w:val="00861D7E"/>
    <w:rsid w:val="008632E1"/>
    <w:rsid w:val="00867A0E"/>
    <w:rsid w:val="00875E76"/>
    <w:rsid w:val="008A045B"/>
    <w:rsid w:val="008A0C48"/>
    <w:rsid w:val="008A4C37"/>
    <w:rsid w:val="008A53BF"/>
    <w:rsid w:val="008A7FBD"/>
    <w:rsid w:val="008B6ADF"/>
    <w:rsid w:val="008B748F"/>
    <w:rsid w:val="008D2C9A"/>
    <w:rsid w:val="008F4FC5"/>
    <w:rsid w:val="00906DDD"/>
    <w:rsid w:val="00927E9D"/>
    <w:rsid w:val="00930024"/>
    <w:rsid w:val="00932CEC"/>
    <w:rsid w:val="00954457"/>
    <w:rsid w:val="00962E68"/>
    <w:rsid w:val="009701B2"/>
    <w:rsid w:val="00992AB2"/>
    <w:rsid w:val="00994D01"/>
    <w:rsid w:val="00997C96"/>
    <w:rsid w:val="009A532B"/>
    <w:rsid w:val="009A645D"/>
    <w:rsid w:val="009B0A65"/>
    <w:rsid w:val="009B2237"/>
    <w:rsid w:val="009C2E7C"/>
    <w:rsid w:val="009D445A"/>
    <w:rsid w:val="00A214E0"/>
    <w:rsid w:val="00A47B71"/>
    <w:rsid w:val="00A75F51"/>
    <w:rsid w:val="00A811B6"/>
    <w:rsid w:val="00A82597"/>
    <w:rsid w:val="00AE744B"/>
    <w:rsid w:val="00AF731A"/>
    <w:rsid w:val="00B04011"/>
    <w:rsid w:val="00B0507A"/>
    <w:rsid w:val="00B1160C"/>
    <w:rsid w:val="00B2137E"/>
    <w:rsid w:val="00B30354"/>
    <w:rsid w:val="00B42AB0"/>
    <w:rsid w:val="00B51899"/>
    <w:rsid w:val="00B5713C"/>
    <w:rsid w:val="00B977B5"/>
    <w:rsid w:val="00BB494E"/>
    <w:rsid w:val="00BD3B62"/>
    <w:rsid w:val="00BD7380"/>
    <w:rsid w:val="00BE5D94"/>
    <w:rsid w:val="00C006AE"/>
    <w:rsid w:val="00C341D0"/>
    <w:rsid w:val="00C34E44"/>
    <w:rsid w:val="00C47D04"/>
    <w:rsid w:val="00C642C7"/>
    <w:rsid w:val="00C71D07"/>
    <w:rsid w:val="00C73E90"/>
    <w:rsid w:val="00C76CFB"/>
    <w:rsid w:val="00C9295B"/>
    <w:rsid w:val="00CA019A"/>
    <w:rsid w:val="00CD444C"/>
    <w:rsid w:val="00CF6494"/>
    <w:rsid w:val="00CF7922"/>
    <w:rsid w:val="00D33A25"/>
    <w:rsid w:val="00D421FB"/>
    <w:rsid w:val="00D55E84"/>
    <w:rsid w:val="00D8036A"/>
    <w:rsid w:val="00D80CDE"/>
    <w:rsid w:val="00D817B3"/>
    <w:rsid w:val="00DB4D3C"/>
    <w:rsid w:val="00DB5194"/>
    <w:rsid w:val="00DD3EB9"/>
    <w:rsid w:val="00DD7D6C"/>
    <w:rsid w:val="00DF5A98"/>
    <w:rsid w:val="00E04425"/>
    <w:rsid w:val="00E04500"/>
    <w:rsid w:val="00E307DA"/>
    <w:rsid w:val="00E31CE1"/>
    <w:rsid w:val="00E4409C"/>
    <w:rsid w:val="00E46B41"/>
    <w:rsid w:val="00E47B00"/>
    <w:rsid w:val="00E52ABF"/>
    <w:rsid w:val="00E832A0"/>
    <w:rsid w:val="00EB6308"/>
    <w:rsid w:val="00ED08DD"/>
    <w:rsid w:val="00EE4CFA"/>
    <w:rsid w:val="00EE52EA"/>
    <w:rsid w:val="00EF295C"/>
    <w:rsid w:val="00EF34C3"/>
    <w:rsid w:val="00F11389"/>
    <w:rsid w:val="00F11447"/>
    <w:rsid w:val="00F118E1"/>
    <w:rsid w:val="00F21141"/>
    <w:rsid w:val="00F21632"/>
    <w:rsid w:val="00F2561B"/>
    <w:rsid w:val="00F2600A"/>
    <w:rsid w:val="00F313E5"/>
    <w:rsid w:val="00F40009"/>
    <w:rsid w:val="00F532E5"/>
    <w:rsid w:val="00F57250"/>
    <w:rsid w:val="00F573A3"/>
    <w:rsid w:val="00F66F3A"/>
    <w:rsid w:val="00F86AAA"/>
    <w:rsid w:val="00F86E2E"/>
    <w:rsid w:val="00F90AA0"/>
    <w:rsid w:val="00F92E92"/>
    <w:rsid w:val="00FA004E"/>
    <w:rsid w:val="00FB37D7"/>
    <w:rsid w:val="00FB42C5"/>
    <w:rsid w:val="00FB4490"/>
    <w:rsid w:val="00FB4526"/>
    <w:rsid w:val="00FD543B"/>
    <w:rsid w:val="00FD5F56"/>
    <w:rsid w:val="00FD698E"/>
    <w:rsid w:val="00FF061B"/>
    <w:rsid w:val="01423F24"/>
    <w:rsid w:val="016A3722"/>
    <w:rsid w:val="01CC7C92"/>
    <w:rsid w:val="01E0373D"/>
    <w:rsid w:val="01E27133"/>
    <w:rsid w:val="02385327"/>
    <w:rsid w:val="024A2DC3"/>
    <w:rsid w:val="02D179C5"/>
    <w:rsid w:val="02F101E0"/>
    <w:rsid w:val="04096F7B"/>
    <w:rsid w:val="04275653"/>
    <w:rsid w:val="048C3708"/>
    <w:rsid w:val="04A42800"/>
    <w:rsid w:val="04F3451E"/>
    <w:rsid w:val="051A23F1"/>
    <w:rsid w:val="053C6EDC"/>
    <w:rsid w:val="05816FE5"/>
    <w:rsid w:val="05C04FA9"/>
    <w:rsid w:val="05E732EC"/>
    <w:rsid w:val="065E4B6F"/>
    <w:rsid w:val="06783DA0"/>
    <w:rsid w:val="06DC5DAC"/>
    <w:rsid w:val="07550FB7"/>
    <w:rsid w:val="07DE071F"/>
    <w:rsid w:val="09041F23"/>
    <w:rsid w:val="09212671"/>
    <w:rsid w:val="093920B1"/>
    <w:rsid w:val="09400191"/>
    <w:rsid w:val="094C3466"/>
    <w:rsid w:val="097C324E"/>
    <w:rsid w:val="097F1A8E"/>
    <w:rsid w:val="0A7A2338"/>
    <w:rsid w:val="0AAE262A"/>
    <w:rsid w:val="0ADD2F10"/>
    <w:rsid w:val="0BB51797"/>
    <w:rsid w:val="0BEE346F"/>
    <w:rsid w:val="0C452725"/>
    <w:rsid w:val="0C6D2071"/>
    <w:rsid w:val="0C9E047D"/>
    <w:rsid w:val="0CC25F19"/>
    <w:rsid w:val="0D501777"/>
    <w:rsid w:val="0DF22A81"/>
    <w:rsid w:val="0DFD4F28"/>
    <w:rsid w:val="0E4312DC"/>
    <w:rsid w:val="0E9E4764"/>
    <w:rsid w:val="0ED65CAC"/>
    <w:rsid w:val="0F587009"/>
    <w:rsid w:val="0F92283F"/>
    <w:rsid w:val="0FDE17AA"/>
    <w:rsid w:val="107962C9"/>
    <w:rsid w:val="10CA7A92"/>
    <w:rsid w:val="10F1501F"/>
    <w:rsid w:val="10F17C33"/>
    <w:rsid w:val="11845E93"/>
    <w:rsid w:val="11B36778"/>
    <w:rsid w:val="126161D4"/>
    <w:rsid w:val="127557DC"/>
    <w:rsid w:val="1284762C"/>
    <w:rsid w:val="12881C08"/>
    <w:rsid w:val="12DB5F87"/>
    <w:rsid w:val="12EA441C"/>
    <w:rsid w:val="13CC3B21"/>
    <w:rsid w:val="143040B0"/>
    <w:rsid w:val="14635EDE"/>
    <w:rsid w:val="14DB226E"/>
    <w:rsid w:val="14EE6392"/>
    <w:rsid w:val="150115A9"/>
    <w:rsid w:val="151C4634"/>
    <w:rsid w:val="15202377"/>
    <w:rsid w:val="153035F0"/>
    <w:rsid w:val="15455D50"/>
    <w:rsid w:val="15D838EA"/>
    <w:rsid w:val="16E5436F"/>
    <w:rsid w:val="175D6A40"/>
    <w:rsid w:val="178A7F7B"/>
    <w:rsid w:val="189A41EE"/>
    <w:rsid w:val="18E04888"/>
    <w:rsid w:val="191044B0"/>
    <w:rsid w:val="191718BB"/>
    <w:rsid w:val="192F4936"/>
    <w:rsid w:val="195066E0"/>
    <w:rsid w:val="195E033A"/>
    <w:rsid w:val="19784DF0"/>
    <w:rsid w:val="19A215AC"/>
    <w:rsid w:val="19B94B48"/>
    <w:rsid w:val="19C109D2"/>
    <w:rsid w:val="1A2975D8"/>
    <w:rsid w:val="1A6E5932"/>
    <w:rsid w:val="1A8B45A2"/>
    <w:rsid w:val="1A951408"/>
    <w:rsid w:val="1AF220BF"/>
    <w:rsid w:val="1AF57E05"/>
    <w:rsid w:val="1B19589E"/>
    <w:rsid w:val="1B4A3CA9"/>
    <w:rsid w:val="1BFD6F6E"/>
    <w:rsid w:val="1C542906"/>
    <w:rsid w:val="1C775345"/>
    <w:rsid w:val="1CF10155"/>
    <w:rsid w:val="1D4C59A7"/>
    <w:rsid w:val="1DA37F96"/>
    <w:rsid w:val="1DBF424A"/>
    <w:rsid w:val="1DE026A3"/>
    <w:rsid w:val="1E124827"/>
    <w:rsid w:val="1E364BF8"/>
    <w:rsid w:val="1E89425F"/>
    <w:rsid w:val="1ED726D2"/>
    <w:rsid w:val="1FC919EF"/>
    <w:rsid w:val="202110DB"/>
    <w:rsid w:val="20541126"/>
    <w:rsid w:val="20972782"/>
    <w:rsid w:val="20F46465"/>
    <w:rsid w:val="20F546B7"/>
    <w:rsid w:val="210C7C53"/>
    <w:rsid w:val="218F5047"/>
    <w:rsid w:val="22484CBB"/>
    <w:rsid w:val="22BE4F7D"/>
    <w:rsid w:val="22DC32BC"/>
    <w:rsid w:val="235B5F65"/>
    <w:rsid w:val="239C52BE"/>
    <w:rsid w:val="23B73EA6"/>
    <w:rsid w:val="23EF1892"/>
    <w:rsid w:val="24155071"/>
    <w:rsid w:val="24373239"/>
    <w:rsid w:val="24BE3012"/>
    <w:rsid w:val="253A7874"/>
    <w:rsid w:val="25702B30"/>
    <w:rsid w:val="25D627BB"/>
    <w:rsid w:val="25FA451E"/>
    <w:rsid w:val="263712CE"/>
    <w:rsid w:val="26BB3CAD"/>
    <w:rsid w:val="26DC5FD1"/>
    <w:rsid w:val="26EC030B"/>
    <w:rsid w:val="273E043A"/>
    <w:rsid w:val="27703A10"/>
    <w:rsid w:val="278542BB"/>
    <w:rsid w:val="278B57CE"/>
    <w:rsid w:val="280E2D78"/>
    <w:rsid w:val="288D78CB"/>
    <w:rsid w:val="289C18BC"/>
    <w:rsid w:val="28C332ED"/>
    <w:rsid w:val="28DD2E5E"/>
    <w:rsid w:val="291D0C4F"/>
    <w:rsid w:val="297B3BC8"/>
    <w:rsid w:val="2984482A"/>
    <w:rsid w:val="298505A2"/>
    <w:rsid w:val="298E7457"/>
    <w:rsid w:val="29A9603F"/>
    <w:rsid w:val="29D01228"/>
    <w:rsid w:val="2A0B535D"/>
    <w:rsid w:val="2A503CE6"/>
    <w:rsid w:val="2A7D74CC"/>
    <w:rsid w:val="2AC11AAE"/>
    <w:rsid w:val="2B02634F"/>
    <w:rsid w:val="2B1A4FFE"/>
    <w:rsid w:val="2B5D17D7"/>
    <w:rsid w:val="2B5F54F6"/>
    <w:rsid w:val="2B836D64"/>
    <w:rsid w:val="2B9B3F1D"/>
    <w:rsid w:val="2B9C4A39"/>
    <w:rsid w:val="2BC90C1A"/>
    <w:rsid w:val="2BD355F5"/>
    <w:rsid w:val="2BFC34A4"/>
    <w:rsid w:val="2BFF4DBC"/>
    <w:rsid w:val="2D12214D"/>
    <w:rsid w:val="2D613D69"/>
    <w:rsid w:val="2D616C31"/>
    <w:rsid w:val="2DEA30CA"/>
    <w:rsid w:val="2DF91655"/>
    <w:rsid w:val="2E3A546E"/>
    <w:rsid w:val="2E4539F5"/>
    <w:rsid w:val="2F3E7229"/>
    <w:rsid w:val="2FBE5596"/>
    <w:rsid w:val="303E6F6E"/>
    <w:rsid w:val="307E133F"/>
    <w:rsid w:val="309E2963"/>
    <w:rsid w:val="30DD1D84"/>
    <w:rsid w:val="311138C3"/>
    <w:rsid w:val="3163566D"/>
    <w:rsid w:val="31B934DF"/>
    <w:rsid w:val="31D96150"/>
    <w:rsid w:val="31F2079F"/>
    <w:rsid w:val="324C7EAF"/>
    <w:rsid w:val="327D1C8C"/>
    <w:rsid w:val="32EA4F73"/>
    <w:rsid w:val="3301513E"/>
    <w:rsid w:val="333D3C9C"/>
    <w:rsid w:val="33B757FC"/>
    <w:rsid w:val="33FB393B"/>
    <w:rsid w:val="3417273F"/>
    <w:rsid w:val="352B64A2"/>
    <w:rsid w:val="353F320D"/>
    <w:rsid w:val="355E512E"/>
    <w:rsid w:val="355F614C"/>
    <w:rsid w:val="35613C72"/>
    <w:rsid w:val="35B6516E"/>
    <w:rsid w:val="35C10BB4"/>
    <w:rsid w:val="362C557E"/>
    <w:rsid w:val="369B31B3"/>
    <w:rsid w:val="36AF4EB1"/>
    <w:rsid w:val="36F823B4"/>
    <w:rsid w:val="375F0685"/>
    <w:rsid w:val="37863E63"/>
    <w:rsid w:val="3787622D"/>
    <w:rsid w:val="380C3787"/>
    <w:rsid w:val="38804D57"/>
    <w:rsid w:val="388D4D7E"/>
    <w:rsid w:val="38931CA8"/>
    <w:rsid w:val="391F631E"/>
    <w:rsid w:val="392E6A4D"/>
    <w:rsid w:val="39534219"/>
    <w:rsid w:val="39993FE2"/>
    <w:rsid w:val="39AC3837"/>
    <w:rsid w:val="39D07618"/>
    <w:rsid w:val="39D64915"/>
    <w:rsid w:val="39DE29D7"/>
    <w:rsid w:val="3A1C285D"/>
    <w:rsid w:val="3A3951BD"/>
    <w:rsid w:val="3A4638BF"/>
    <w:rsid w:val="3A6D130B"/>
    <w:rsid w:val="3AD153F6"/>
    <w:rsid w:val="3AE25855"/>
    <w:rsid w:val="3AFE1F63"/>
    <w:rsid w:val="3B0357CB"/>
    <w:rsid w:val="3B07350D"/>
    <w:rsid w:val="3B7A7767"/>
    <w:rsid w:val="3B9A50C8"/>
    <w:rsid w:val="3BE15B0C"/>
    <w:rsid w:val="3C326D84"/>
    <w:rsid w:val="3C3976F6"/>
    <w:rsid w:val="3C46310D"/>
    <w:rsid w:val="3CA408E8"/>
    <w:rsid w:val="3CBE2C21"/>
    <w:rsid w:val="3D1C4922"/>
    <w:rsid w:val="3D6606EF"/>
    <w:rsid w:val="3E0930F8"/>
    <w:rsid w:val="3E35213F"/>
    <w:rsid w:val="3F327A1C"/>
    <w:rsid w:val="401F6C03"/>
    <w:rsid w:val="404B5C4A"/>
    <w:rsid w:val="40A86BF9"/>
    <w:rsid w:val="41006A35"/>
    <w:rsid w:val="412B15D8"/>
    <w:rsid w:val="41654AEA"/>
    <w:rsid w:val="417E5BAB"/>
    <w:rsid w:val="41A90F38"/>
    <w:rsid w:val="41BA2291"/>
    <w:rsid w:val="41D6606A"/>
    <w:rsid w:val="42345601"/>
    <w:rsid w:val="42384961"/>
    <w:rsid w:val="42641245"/>
    <w:rsid w:val="429A6A15"/>
    <w:rsid w:val="429F5DD9"/>
    <w:rsid w:val="430C01A7"/>
    <w:rsid w:val="436A288B"/>
    <w:rsid w:val="43792ACE"/>
    <w:rsid w:val="439E2535"/>
    <w:rsid w:val="440F51E1"/>
    <w:rsid w:val="44421112"/>
    <w:rsid w:val="444A30CC"/>
    <w:rsid w:val="44683CEC"/>
    <w:rsid w:val="448309C4"/>
    <w:rsid w:val="44B00772"/>
    <w:rsid w:val="458319E2"/>
    <w:rsid w:val="45AB2CE7"/>
    <w:rsid w:val="468974CC"/>
    <w:rsid w:val="46AA7E1B"/>
    <w:rsid w:val="46D85D5E"/>
    <w:rsid w:val="46E06C60"/>
    <w:rsid w:val="47394A4E"/>
    <w:rsid w:val="473C4857"/>
    <w:rsid w:val="47FB7F56"/>
    <w:rsid w:val="48117779"/>
    <w:rsid w:val="48A979B2"/>
    <w:rsid w:val="48C22822"/>
    <w:rsid w:val="48CD1ED7"/>
    <w:rsid w:val="48EC789E"/>
    <w:rsid w:val="491F1A22"/>
    <w:rsid w:val="49415E3C"/>
    <w:rsid w:val="4A106608"/>
    <w:rsid w:val="4ABD14F2"/>
    <w:rsid w:val="4BC114B6"/>
    <w:rsid w:val="4C001EFA"/>
    <w:rsid w:val="4CD64AED"/>
    <w:rsid w:val="4D4C4DB0"/>
    <w:rsid w:val="4D5C1497"/>
    <w:rsid w:val="4D6B16DA"/>
    <w:rsid w:val="4D866514"/>
    <w:rsid w:val="4DF571F5"/>
    <w:rsid w:val="4E297A6D"/>
    <w:rsid w:val="4F2A7373"/>
    <w:rsid w:val="4F310701"/>
    <w:rsid w:val="4FF359B6"/>
    <w:rsid w:val="50493828"/>
    <w:rsid w:val="508D1E65"/>
    <w:rsid w:val="508F5ADA"/>
    <w:rsid w:val="51791EEB"/>
    <w:rsid w:val="519B00B4"/>
    <w:rsid w:val="51C25640"/>
    <w:rsid w:val="52666914"/>
    <w:rsid w:val="526D7CA2"/>
    <w:rsid w:val="526F3A1A"/>
    <w:rsid w:val="53807561"/>
    <w:rsid w:val="53B813F1"/>
    <w:rsid w:val="541B6997"/>
    <w:rsid w:val="547370C6"/>
    <w:rsid w:val="551C775D"/>
    <w:rsid w:val="557C058E"/>
    <w:rsid w:val="55E77D6B"/>
    <w:rsid w:val="5655158D"/>
    <w:rsid w:val="56E542AB"/>
    <w:rsid w:val="574216FD"/>
    <w:rsid w:val="57F56770"/>
    <w:rsid w:val="5849678B"/>
    <w:rsid w:val="58CB5722"/>
    <w:rsid w:val="58E6658E"/>
    <w:rsid w:val="58F30442"/>
    <w:rsid w:val="594352B9"/>
    <w:rsid w:val="595428D5"/>
    <w:rsid w:val="59554FEC"/>
    <w:rsid w:val="59B368E2"/>
    <w:rsid w:val="5A054C64"/>
    <w:rsid w:val="5A8B33BB"/>
    <w:rsid w:val="5B080AB5"/>
    <w:rsid w:val="5B314D0F"/>
    <w:rsid w:val="5B5C4D58"/>
    <w:rsid w:val="5BC07095"/>
    <w:rsid w:val="5BE72873"/>
    <w:rsid w:val="5C067FD3"/>
    <w:rsid w:val="5C52291A"/>
    <w:rsid w:val="5CC374F9"/>
    <w:rsid w:val="5CD64696"/>
    <w:rsid w:val="5D192F00"/>
    <w:rsid w:val="5D311E68"/>
    <w:rsid w:val="5D370BDD"/>
    <w:rsid w:val="5D523A2A"/>
    <w:rsid w:val="5D910DA9"/>
    <w:rsid w:val="5DC42740"/>
    <w:rsid w:val="5E3721D5"/>
    <w:rsid w:val="5EA45A4C"/>
    <w:rsid w:val="5EBD5B0D"/>
    <w:rsid w:val="5EC24ED2"/>
    <w:rsid w:val="5F2B0CC9"/>
    <w:rsid w:val="5F97635E"/>
    <w:rsid w:val="5FCB194A"/>
    <w:rsid w:val="5FE64BF0"/>
    <w:rsid w:val="609204C3"/>
    <w:rsid w:val="62127109"/>
    <w:rsid w:val="62201657"/>
    <w:rsid w:val="627D7A8D"/>
    <w:rsid w:val="63BA086D"/>
    <w:rsid w:val="63BB4AF2"/>
    <w:rsid w:val="63FF4464"/>
    <w:rsid w:val="641A755E"/>
    <w:rsid w:val="64412D3D"/>
    <w:rsid w:val="6477050C"/>
    <w:rsid w:val="64A21A2D"/>
    <w:rsid w:val="656E190F"/>
    <w:rsid w:val="657677F4"/>
    <w:rsid w:val="658C5A86"/>
    <w:rsid w:val="65DA51F7"/>
    <w:rsid w:val="66A02017"/>
    <w:rsid w:val="66E53E53"/>
    <w:rsid w:val="66EC3434"/>
    <w:rsid w:val="673152EA"/>
    <w:rsid w:val="67362901"/>
    <w:rsid w:val="67D070E2"/>
    <w:rsid w:val="68016A6B"/>
    <w:rsid w:val="681B5712"/>
    <w:rsid w:val="68373F2A"/>
    <w:rsid w:val="68912470"/>
    <w:rsid w:val="69482477"/>
    <w:rsid w:val="6A773014"/>
    <w:rsid w:val="6B142F59"/>
    <w:rsid w:val="6B1B42E7"/>
    <w:rsid w:val="6B23233C"/>
    <w:rsid w:val="6B797260"/>
    <w:rsid w:val="6B7B2FD8"/>
    <w:rsid w:val="6BE36A02"/>
    <w:rsid w:val="6C493EF3"/>
    <w:rsid w:val="6CE03289"/>
    <w:rsid w:val="6CE556DE"/>
    <w:rsid w:val="6D0810F4"/>
    <w:rsid w:val="6D4D2752"/>
    <w:rsid w:val="6D6477EE"/>
    <w:rsid w:val="6D7D4DE5"/>
    <w:rsid w:val="6DAF0D17"/>
    <w:rsid w:val="6DC9002B"/>
    <w:rsid w:val="6DFB3F5C"/>
    <w:rsid w:val="6E3A0F28"/>
    <w:rsid w:val="6E6715F2"/>
    <w:rsid w:val="6E8B52E0"/>
    <w:rsid w:val="6EA463A2"/>
    <w:rsid w:val="6EA973FA"/>
    <w:rsid w:val="6EC16F54"/>
    <w:rsid w:val="6EDF387E"/>
    <w:rsid w:val="6EE92007"/>
    <w:rsid w:val="6F13470B"/>
    <w:rsid w:val="6F1572A0"/>
    <w:rsid w:val="6FA81EC2"/>
    <w:rsid w:val="7019364B"/>
    <w:rsid w:val="70343755"/>
    <w:rsid w:val="705435FB"/>
    <w:rsid w:val="70B82EFE"/>
    <w:rsid w:val="70DD3DED"/>
    <w:rsid w:val="71002B3E"/>
    <w:rsid w:val="71463EE8"/>
    <w:rsid w:val="71A60683"/>
    <w:rsid w:val="71BB412E"/>
    <w:rsid w:val="71F72C8D"/>
    <w:rsid w:val="722A4E10"/>
    <w:rsid w:val="729E0256"/>
    <w:rsid w:val="73593BFF"/>
    <w:rsid w:val="739C7F8F"/>
    <w:rsid w:val="73A6496A"/>
    <w:rsid w:val="74416441"/>
    <w:rsid w:val="750C6A4F"/>
    <w:rsid w:val="751410AE"/>
    <w:rsid w:val="752A57CF"/>
    <w:rsid w:val="758E56B6"/>
    <w:rsid w:val="759A04FF"/>
    <w:rsid w:val="75FB0F9D"/>
    <w:rsid w:val="766F3739"/>
    <w:rsid w:val="76EA2DC0"/>
    <w:rsid w:val="777D3C34"/>
    <w:rsid w:val="77D00208"/>
    <w:rsid w:val="77FE68E0"/>
    <w:rsid w:val="78436C2C"/>
    <w:rsid w:val="78EC72C3"/>
    <w:rsid w:val="78F6784E"/>
    <w:rsid w:val="7A4F18B8"/>
    <w:rsid w:val="7A592736"/>
    <w:rsid w:val="7AD90391"/>
    <w:rsid w:val="7BB613FE"/>
    <w:rsid w:val="7BBD6CF5"/>
    <w:rsid w:val="7BD302C6"/>
    <w:rsid w:val="7C014E34"/>
    <w:rsid w:val="7C635AEE"/>
    <w:rsid w:val="7CB4634A"/>
    <w:rsid w:val="7D0270B5"/>
    <w:rsid w:val="7D31799A"/>
    <w:rsid w:val="7D5D29D2"/>
    <w:rsid w:val="7DFC0A1A"/>
    <w:rsid w:val="7F4C0ABC"/>
    <w:rsid w:val="7F62208D"/>
    <w:rsid w:val="7FC7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qFormat="1" w:unhideWhenUsed="0" w:uiPriority="0" w:semiHidden="0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0"/>
    <w:pPr>
      <w:spacing w:after="140" w:line="276" w:lineRule="auto"/>
    </w:pPr>
  </w:style>
  <w:style w:type="paragraph" w:customStyle="1" w:styleId="3">
    <w:name w:val="TOC 81"/>
    <w:next w:val="1"/>
    <w:qFormat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4">
    <w:name w:val="index 5"/>
    <w:basedOn w:val="1"/>
    <w:next w:val="1"/>
    <w:autoRedefine/>
    <w:qFormat/>
    <w:uiPriority w:val="0"/>
    <w:pPr>
      <w:autoSpaceDE w:val="0"/>
      <w:autoSpaceDN w:val="0"/>
      <w:ind w:left="1680"/>
      <w:jc w:val="left"/>
    </w:pPr>
    <w:rPr>
      <w:rFonts w:ascii="宋体" w:cs="Times New Roman"/>
    </w:rPr>
  </w:style>
  <w:style w:type="paragraph" w:styleId="5">
    <w:name w:val="Date"/>
    <w:basedOn w:val="1"/>
    <w:next w:val="1"/>
    <w:link w:val="13"/>
    <w:autoRedefine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6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table" w:styleId="11">
    <w:name w:val="Table Grid"/>
    <w:basedOn w:val="10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日期 字符"/>
    <w:basedOn w:val="12"/>
    <w:link w:val="5"/>
    <w:autoRedefine/>
    <w:semiHidden/>
    <w:qFormat/>
    <w:uiPriority w:val="99"/>
  </w:style>
  <w:style w:type="character" w:customStyle="1" w:styleId="14">
    <w:name w:val="页眉 字符"/>
    <w:basedOn w:val="12"/>
    <w:link w:val="8"/>
    <w:autoRedefine/>
    <w:qFormat/>
    <w:uiPriority w:val="99"/>
    <w:rPr>
      <w:sz w:val="18"/>
      <w:szCs w:val="18"/>
    </w:rPr>
  </w:style>
  <w:style w:type="character" w:customStyle="1" w:styleId="15">
    <w:name w:val="页脚 字符"/>
    <w:basedOn w:val="12"/>
    <w:link w:val="7"/>
    <w:autoRedefine/>
    <w:qFormat/>
    <w:uiPriority w:val="99"/>
    <w:rPr>
      <w:sz w:val="18"/>
      <w:szCs w:val="18"/>
    </w:rPr>
  </w:style>
  <w:style w:type="character" w:customStyle="1" w:styleId="16">
    <w:name w:val="批注框文本 字符"/>
    <w:basedOn w:val="12"/>
    <w:link w:val="6"/>
    <w:autoRedefine/>
    <w:semiHidden/>
    <w:qFormat/>
    <w:uiPriority w:val="99"/>
    <w:rPr>
      <w:sz w:val="18"/>
      <w:szCs w:val="18"/>
    </w:rPr>
  </w:style>
  <w:style w:type="paragraph" w:customStyle="1" w:styleId="17">
    <w:name w:val="No Spacing1"/>
    <w:basedOn w:val="1"/>
    <w:autoRedefine/>
    <w:qFormat/>
    <w:uiPriority w:val="0"/>
    <w:rPr>
      <w:rFonts w:ascii="Calibri" w:hAnsi="Calibri" w:eastAsia="宋体" w:cs="Times New Roman"/>
      <w:sz w:val="32"/>
      <w:szCs w:val="32"/>
    </w:rPr>
  </w:style>
  <w:style w:type="paragraph" w:customStyle="1" w:styleId="18">
    <w:name w:val="_Style 2"/>
    <w:basedOn w:val="1"/>
    <w:autoRedefine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19">
    <w:name w:val="要点11"/>
    <w:qFormat/>
    <w:uiPriority w:val="0"/>
    <w:rPr>
      <w:rFonts w:ascii="Calibri" w:hAnsi="Calibri"/>
      <w:kern w:val="2"/>
      <w:sz w:val="21"/>
      <w:szCs w:val="24"/>
      <w:lang w:val="en-US" w:eastAsia="zh-CN" w:bidi="ar-SA"/>
    </w:rPr>
  </w:style>
  <w:style w:type="character" w:customStyle="1" w:styleId="20">
    <w:name w:val="要点1"/>
    <w:basedOn w:val="21"/>
    <w:qFormat/>
    <w:uiPriority w:val="0"/>
    <w:rPr>
      <w:rFonts w:ascii="Times New Roman" w:hAnsi="Times New Roman" w:eastAsia="宋体" w:cs="Times New Roman"/>
      <w:b/>
    </w:rPr>
  </w:style>
  <w:style w:type="character" w:customStyle="1" w:styleId="21">
    <w:name w:val="默认段落字体1"/>
    <w:qFormat/>
    <w:uiPriority w:val="0"/>
    <w:rPr>
      <w:rFonts w:ascii="Times New Roman" w:hAnsi="Times New Roman" w:eastAsia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hart" Target="charts/chart5.xml"/><Relationship Id="rId8" Type="http://schemas.openxmlformats.org/officeDocument/2006/relationships/chart" Target="charts/chart4.xml"/><Relationship Id="rId7" Type="http://schemas.openxmlformats.org/officeDocument/2006/relationships/chart" Target="charts/chart3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chart" Target="charts/chart6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file:///C:\Users\Administrator\Desktop\2025&#24180;&#32479;&#35745;&#20844;&#25253;\&#25968;&#25454;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microsoft.com/office/2011/relationships/chartColorStyle" Target="colors4.xml"/><Relationship Id="rId2" Type="http://schemas.microsoft.com/office/2011/relationships/chartStyle" Target="style4.xml"/><Relationship Id="rId1" Type="http://schemas.openxmlformats.org/officeDocument/2006/relationships/oleObject" Target="file:///C:\Users\Administrator\Desktop\2025&#24180;&#32479;&#35745;&#20844;&#25253;\&#25968;&#25454;.xlsx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microsoft.com/office/2011/relationships/chartColorStyle" Target="colors6.xml"/><Relationship Id="rId2" Type="http://schemas.microsoft.com/office/2011/relationships/chartStyle" Target="style6.xml"/><Relationship Id="rId1" Type="http://schemas.openxmlformats.org/officeDocument/2006/relationships/oleObject" Target="file:///C:\Users\Administrator\Desktop\2025&#24180;&#32479;&#35745;&#20844;&#25253;\&#25968;&#25454;.xlsx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microsoft.com/office/2011/relationships/chartColorStyle" Target="colors2.xml"/><Relationship Id="rId2" Type="http://schemas.microsoft.com/office/2011/relationships/chartStyle" Target="style2.xml"/><Relationship Id="rId1" Type="http://schemas.openxmlformats.org/officeDocument/2006/relationships/oleObject" Target="file:///C:\Users\Administrator\Desktop\2025&#24180;&#32479;&#35745;&#20844;&#25253;\&#25968;&#25454;.xlsx" TargetMode="External"/></Relationships>
</file>

<file path=word/charts/_rels/chart5.xml.rels><?xml version="1.0" encoding="UTF-8" standalone="yes"?>
<Relationships xmlns="http://schemas.openxmlformats.org/package/2006/relationships"><Relationship Id="rId3" Type="http://schemas.microsoft.com/office/2011/relationships/chartColorStyle" Target="colors5.xml"/><Relationship Id="rId2" Type="http://schemas.microsoft.com/office/2011/relationships/chartStyle" Target="style5.xml"/><Relationship Id="rId1" Type="http://schemas.openxmlformats.org/officeDocument/2006/relationships/oleObject" Target="file:///C:\Users\Administrator\Desktop\2025&#24180;&#32479;&#35745;&#20844;&#25253;\&#25968;&#25454;.xlsx" TargetMode="External"/></Relationships>
</file>

<file path=word/charts/_rels/chart6.xml.rels><?xml version="1.0" encoding="UTF-8" standalone="yes"?>
<Relationships xmlns="http://schemas.openxmlformats.org/package/2006/relationships"><Relationship Id="rId3" Type="http://schemas.microsoft.com/office/2011/relationships/chartColorStyle" Target="colors3.xml"/><Relationship Id="rId2" Type="http://schemas.microsoft.com/office/2011/relationships/chartStyle" Target="style3.xml"/><Relationship Id="rId1" Type="http://schemas.openxmlformats.org/officeDocument/2006/relationships/oleObject" Target="file:///C:\Users\Administrator\Desktop\2025&#24180;&#32479;&#35745;&#20844;&#25253;\&#25968;&#25454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400" b="0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方正小标宋简体" panose="03000509000000000000" pitchFamily="4" charset="-122"/>
                <a:ea typeface="方正小标宋简体" panose="03000509000000000000" pitchFamily="4" charset="-122"/>
                <a:cs typeface="方正小标宋简体" panose="03000509000000000000" pitchFamily="4" charset="-122"/>
                <a:sym typeface="方正小标宋简体" panose="03000509000000000000" pitchFamily="4" charset="-122"/>
              </a:defRPr>
            </a:pPr>
            <a:r>
              <a:rPr sz="1400" b="0">
                <a:latin typeface="方正小标宋简体" panose="03000509000000000000" pitchFamily="4" charset="-122"/>
                <a:ea typeface="方正小标宋简体" panose="03000509000000000000" pitchFamily="4" charset="-122"/>
                <a:cs typeface="方正小标宋简体" panose="03000509000000000000" pitchFamily="4" charset="-122"/>
                <a:sym typeface="方正小标宋简体" panose="03000509000000000000" pitchFamily="4" charset="-122"/>
              </a:rPr>
              <a:t>202</a:t>
            </a:r>
            <a:r>
              <a:rPr lang="en-US" altLang="zh-CN" sz="1400" b="0">
                <a:latin typeface="方正小标宋简体" panose="03000509000000000000" pitchFamily="4" charset="-122"/>
                <a:ea typeface="方正小标宋简体" panose="03000509000000000000" pitchFamily="4" charset="-122"/>
                <a:cs typeface="方正小标宋简体" panose="03000509000000000000" pitchFamily="4" charset="-122"/>
                <a:sym typeface="方正小标宋简体" panose="03000509000000000000" pitchFamily="4" charset="-122"/>
              </a:rPr>
              <a:t>5</a:t>
            </a:r>
            <a:r>
              <a:rPr sz="1400" b="0">
                <a:latin typeface="方正小标宋简体" panose="03000509000000000000" pitchFamily="4" charset="-122"/>
                <a:ea typeface="方正小标宋简体" panose="03000509000000000000" pitchFamily="4" charset="-122"/>
                <a:cs typeface="方正小标宋简体" panose="03000509000000000000" pitchFamily="4" charset="-122"/>
                <a:sym typeface="方正小标宋简体" panose="03000509000000000000" pitchFamily="4" charset="-122"/>
              </a:rPr>
              <a:t>年佳木斯市三次产业比重</a:t>
            </a:r>
            <a:endParaRPr sz="1400" b="0">
              <a:latin typeface="方正小标宋简体" panose="03000509000000000000" pitchFamily="4" charset="-122"/>
              <a:ea typeface="方正小标宋简体" panose="03000509000000000000" pitchFamily="4" charset="-122"/>
              <a:cs typeface="方正小标宋简体" panose="03000509000000000000" pitchFamily="4" charset="-122"/>
              <a:sym typeface="方正小标宋简体" panose="03000509000000000000" pitchFamily="4" charset="-122"/>
            </a:endParaRPr>
          </a:p>
        </c:rich>
      </c:tx>
      <c:layout>
        <c:manualLayout>
          <c:xMode val="edge"/>
          <c:yMode val="edge"/>
          <c:x val="0.253478603307955"/>
          <c:y val="0.0275292498279422"/>
        </c:manualLayout>
      </c:layout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effectLst/>
      </c:spPr>
    </c:floor>
    <c:sideWall>
      <c:thickness val="0"/>
      <c:spPr>
        <a:noFill/>
        <a:effectLst/>
      </c:spPr>
    </c:sideWall>
    <c:backWall>
      <c:thickness val="0"/>
      <c:spPr>
        <a:noFill/>
        <a:effectLst/>
      </c:spPr>
    </c:backWall>
    <c:plotArea>
      <c:layout>
        <c:manualLayout>
          <c:layoutTarget val="inner"/>
          <c:xMode val="edge"/>
          <c:yMode val="edge"/>
          <c:x val="0.100771856130218"/>
          <c:y val="0.183331039229181"/>
          <c:w val="0.829173011289052"/>
          <c:h val="0.58929112181693"/>
        </c:manualLayout>
      </c:layout>
      <c:pie3DChart>
        <c:varyColors val="1"/>
        <c:ser>
          <c:idx val="0"/>
          <c:order val="0"/>
          <c:tx>
            <c:strRef>
              <c:f>[数据.xlsx]Sheet1!$D$15</c:f>
              <c:strCache>
                <c:ptCount val="1"/>
                <c:pt idx="0">
                  <c:v>2025年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 contourW="9525"/>
          </c:spPr>
          <c:explosion val="0"/>
          <c:dPt>
            <c:idx val="0"/>
            <c:bubble3D val="0"/>
            <c:spPr>
              <a:solidFill>
                <a:schemeClr val="accent1"/>
              </a:solidFill>
              <a:ln>
                <a:solidFill>
                  <a:schemeClr val="bg1"/>
                </a:solidFill>
              </a:ln>
              <a:effectLst/>
              <a:scene3d>
                <a:camera prst="orthographicFront"/>
                <a:lightRig rig="threePt" dir="t"/>
              </a:scene3d>
              <a:sp3d contourW="9525"/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solidFill>
                  <a:schemeClr val="bg1"/>
                </a:solidFill>
              </a:ln>
              <a:effectLst/>
              <a:scene3d>
                <a:camera prst="orthographicFront"/>
                <a:lightRig rig="threePt" dir="t"/>
              </a:scene3d>
              <a:sp3d contourW="9525"/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solidFill>
                  <a:schemeClr val="bg1"/>
                </a:solidFill>
              </a:ln>
              <a:effectLst/>
              <a:scene3d>
                <a:camera prst="orthographicFront"/>
                <a:lightRig rig="threePt" dir="t"/>
              </a:scene3d>
              <a:sp3d contourW="9525"/>
            </c:spPr>
          </c:dPt>
          <c:dLbls>
            <c:dLbl>
              <c:idx val="0"/>
              <c:layout>
                <c:manualLayout>
                  <c:x val="0.0357076876011241"/>
                  <c:y val="-0.0331351212381354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10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Times New Roman" panose="02020603050405020304" charset="0"/>
                        <a:ea typeface="Times New Roman" panose="02020603050405020304" charset="0"/>
                        <a:cs typeface="Times New Roman" panose="02020603050405020304" charset="0"/>
                        <a:sym typeface="Times New Roman" panose="02020603050405020304" charset="0"/>
                      </a:defRPr>
                    </a:pPr>
                    <a:r>
                      <a:rPr b="1">
                        <a:latin typeface="Times New Roman" panose="02020603050405020304" charset="0"/>
                        <a:ea typeface="Times New Roman" panose="02020603050405020304" charset="0"/>
                        <a:cs typeface="Times New Roman" panose="02020603050405020304" charset="0"/>
                        <a:sym typeface="Times New Roman" panose="02020603050405020304" charset="0"/>
                      </a:rPr>
                      <a:t>40.4</a:t>
                    </a:r>
                    <a:r>
                      <a:rPr lang="en-US" altLang="zh-CN" b="1">
                        <a:latin typeface="Times New Roman" panose="02020603050405020304" charset="0"/>
                        <a:ea typeface="Times New Roman" panose="02020603050405020304" charset="0"/>
                        <a:cs typeface="Times New Roman" panose="02020603050405020304" charset="0"/>
                        <a:sym typeface="Times New Roman" panose="02020603050405020304" charset="0"/>
                      </a:rPr>
                      <a:t>%</a:t>
                    </a:r>
                    <a:endParaRPr lang="en-US" altLang="zh-CN" b="1">
                      <a:latin typeface="Times New Roman" panose="02020603050405020304" charset="0"/>
                      <a:ea typeface="Times New Roman" panose="02020603050405020304" charset="0"/>
                      <a:cs typeface="Times New Roman" panose="02020603050405020304" charset="0"/>
                      <a:sym typeface="Times New Roman" panose="02020603050405020304" charset="0"/>
                    </a:endParaRP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.0859311779852647"/>
                  <c:y val="-0.0007616037072943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10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Times New Roman" panose="02020603050405020304" charset="0"/>
                        <a:ea typeface="Times New Roman" panose="02020603050405020304" charset="0"/>
                        <a:cs typeface="Times New Roman" panose="02020603050405020304" charset="0"/>
                        <a:sym typeface="Times New Roman" panose="02020603050405020304" charset="0"/>
                      </a:defRPr>
                    </a:pPr>
                    <a:r>
                      <a:rPr b="1">
                        <a:latin typeface="Times New Roman" panose="02020603050405020304" charset="0"/>
                        <a:ea typeface="Times New Roman" panose="02020603050405020304" charset="0"/>
                        <a:cs typeface="Times New Roman" panose="02020603050405020304" charset="0"/>
                        <a:sym typeface="Times New Roman" panose="02020603050405020304" charset="0"/>
                      </a:rPr>
                      <a:t>9.0</a:t>
                    </a:r>
                    <a:r>
                      <a:rPr lang="en-US" altLang="zh-CN" b="1">
                        <a:latin typeface="Times New Roman" panose="02020603050405020304" charset="0"/>
                        <a:ea typeface="Times New Roman" panose="02020603050405020304" charset="0"/>
                        <a:cs typeface="Times New Roman" panose="02020603050405020304" charset="0"/>
                        <a:sym typeface="Times New Roman" panose="02020603050405020304" charset="0"/>
                      </a:rPr>
                      <a:t>%</a:t>
                    </a:r>
                    <a:endParaRPr lang="en-US" altLang="zh-CN" b="1">
                      <a:latin typeface="Times New Roman" panose="02020603050405020304" charset="0"/>
                      <a:ea typeface="Times New Roman" panose="02020603050405020304" charset="0"/>
                      <a:cs typeface="Times New Roman" panose="02020603050405020304" charset="0"/>
                      <a:sym typeface="Times New Roman" panose="02020603050405020304" charset="0"/>
                    </a:endParaRP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.000366390023532445"/>
                  <c:y val="-0.198221491619328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10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Times New Roman" panose="02020603050405020304" charset="0"/>
                        <a:ea typeface="Times New Roman" panose="02020603050405020304" charset="0"/>
                        <a:cs typeface="Times New Roman" panose="02020603050405020304" charset="0"/>
                        <a:sym typeface="Times New Roman" panose="02020603050405020304" charset="0"/>
                      </a:defRPr>
                    </a:pPr>
                    <a:r>
                      <a:rPr b="1">
                        <a:latin typeface="Times New Roman" panose="02020603050405020304" charset="0"/>
                        <a:ea typeface="Times New Roman" panose="02020603050405020304" charset="0"/>
                        <a:cs typeface="Times New Roman" panose="02020603050405020304" charset="0"/>
                        <a:sym typeface="Times New Roman" panose="02020603050405020304" charset="0"/>
                      </a:rPr>
                      <a:t>50.6</a:t>
                    </a:r>
                    <a:r>
                      <a:rPr lang="en-US" altLang="zh-CN" b="1">
                        <a:latin typeface="Times New Roman" panose="02020603050405020304" charset="0"/>
                        <a:ea typeface="Times New Roman" panose="02020603050405020304" charset="0"/>
                        <a:cs typeface="Times New Roman" panose="02020603050405020304" charset="0"/>
                        <a:sym typeface="Times New Roman" panose="02020603050405020304" charset="0"/>
                      </a:rPr>
                      <a:t>%</a:t>
                    </a:r>
                    <a:endParaRPr lang="en-US" altLang="zh-CN" b="1">
                      <a:latin typeface="Times New Roman" panose="02020603050405020304" charset="0"/>
                      <a:ea typeface="Times New Roman" panose="02020603050405020304" charset="0"/>
                      <a:cs typeface="Times New Roman" panose="02020603050405020304" charset="0"/>
                      <a:sym typeface="Times New Roman" panose="02020603050405020304" charset="0"/>
                    </a:endParaRP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[数据.xlsx]Sheet1!$C$16:$C$18</c:f>
              <c:strCache>
                <c:ptCount val="3"/>
                <c:pt idx="0">
                  <c:v>第一产业</c:v>
                </c:pt>
                <c:pt idx="1">
                  <c:v>第二产业</c:v>
                </c:pt>
                <c:pt idx="2">
                  <c:v>第三产业</c:v>
                </c:pt>
              </c:strCache>
            </c:strRef>
          </c:cat>
          <c:val>
            <c:numRef>
              <c:f>[数据.xlsx]Sheet1!$D$16:$D$18</c:f>
              <c:numCache>
                <c:formatCode>General</c:formatCode>
                <c:ptCount val="3"/>
                <c:pt idx="0">
                  <c:v>40.4</c:v>
                </c:pt>
                <c:pt idx="1" c:formatCode="0.0_ ">
                  <c:v>9</c:v>
                </c:pt>
                <c:pt idx="2">
                  <c:v>50.6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1005513258073"/>
          <c:y val="0.910988758889654"/>
          <c:w val="0.460488317143607"/>
          <c:h val="0.0763936682725396"/>
        </c:manualLayout>
      </c:layout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30c593d8-4ec8-4556-91c2-c5d016fe7f4f}"/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400" b="1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  <a:r>
              <a:rPr b="0">
                <a:solidFill>
                  <a:sysClr val="windowText" lastClr="000000"/>
                </a:solidFill>
                <a:latin typeface="方正小标宋简体" panose="03000509000000000000" pitchFamily="4" charset="-122"/>
                <a:ea typeface="方正小标宋简体" panose="03000509000000000000" pitchFamily="4" charset="-122"/>
                <a:cs typeface="方正小标宋简体" panose="03000509000000000000" pitchFamily="4" charset="-122"/>
                <a:sym typeface="Times New Roman" panose="02020603050405020304" charset="0"/>
              </a:rPr>
              <a:t>202</a:t>
            </a:r>
            <a:r>
              <a:rPr lang="en-US" altLang="zh-CN" b="0">
                <a:solidFill>
                  <a:sysClr val="windowText" lastClr="000000"/>
                </a:solidFill>
                <a:latin typeface="方正小标宋简体" panose="03000509000000000000" pitchFamily="4" charset="-122"/>
                <a:ea typeface="方正小标宋简体" panose="03000509000000000000" pitchFamily="4" charset="-122"/>
                <a:cs typeface="方正小标宋简体" panose="03000509000000000000" pitchFamily="4" charset="-122"/>
                <a:sym typeface="Times New Roman" panose="02020603050405020304" charset="0"/>
              </a:rPr>
              <a:t>3</a:t>
            </a:r>
            <a:r>
              <a:rPr b="0">
                <a:solidFill>
                  <a:sysClr val="windowText" lastClr="000000"/>
                </a:solidFill>
                <a:latin typeface="方正小标宋简体" panose="03000509000000000000" pitchFamily="4" charset="-122"/>
                <a:ea typeface="方正小标宋简体" panose="03000509000000000000" pitchFamily="4" charset="-122"/>
                <a:cs typeface="方正小标宋简体" panose="03000509000000000000" pitchFamily="4" charset="-122"/>
                <a:sym typeface="Times New Roman" panose="02020603050405020304" charset="0"/>
              </a:rPr>
              <a:t>年</a:t>
            </a:r>
            <a:r>
              <a:rPr lang="en-US" altLang="zh-CN" b="0">
                <a:solidFill>
                  <a:sysClr val="windowText" lastClr="000000"/>
                </a:solidFill>
                <a:latin typeface="方正小标宋简体" panose="03000509000000000000" pitchFamily="4" charset="-122"/>
                <a:ea typeface="方正小标宋简体" panose="03000509000000000000" pitchFamily="4" charset="-122"/>
                <a:cs typeface="方正小标宋简体" panose="03000509000000000000" pitchFamily="4" charset="-122"/>
                <a:sym typeface="Times New Roman" panose="02020603050405020304" charset="0"/>
              </a:rPr>
              <a:t> </a:t>
            </a:r>
            <a:r>
              <a:rPr b="0">
                <a:solidFill>
                  <a:sysClr val="windowText" lastClr="000000"/>
                </a:solidFill>
                <a:latin typeface="方正小标宋简体" panose="03000509000000000000" pitchFamily="4" charset="-122"/>
                <a:ea typeface="方正小标宋简体" panose="03000509000000000000" pitchFamily="4" charset="-122"/>
                <a:cs typeface="方正小标宋简体" panose="03000509000000000000" pitchFamily="4" charset="-122"/>
                <a:sym typeface="Times New Roman" panose="02020603050405020304" charset="0"/>
              </a:rPr>
              <a:t>- 202</a:t>
            </a:r>
            <a:r>
              <a:rPr lang="en-US" altLang="zh-CN" b="0">
                <a:solidFill>
                  <a:sysClr val="windowText" lastClr="000000"/>
                </a:solidFill>
                <a:latin typeface="方正小标宋简体" panose="03000509000000000000" pitchFamily="4" charset="-122"/>
                <a:ea typeface="方正小标宋简体" panose="03000509000000000000" pitchFamily="4" charset="-122"/>
                <a:cs typeface="方正小标宋简体" panose="03000509000000000000" pitchFamily="4" charset="-122"/>
                <a:sym typeface="Times New Roman" panose="02020603050405020304" charset="0"/>
              </a:rPr>
              <a:t>5</a:t>
            </a:r>
            <a:r>
              <a:rPr b="0">
                <a:solidFill>
                  <a:sysClr val="windowText" lastClr="000000"/>
                </a:solidFill>
                <a:latin typeface="方正小标宋简体" panose="03000509000000000000" pitchFamily="4" charset="-122"/>
                <a:ea typeface="方正小标宋简体" panose="03000509000000000000" pitchFamily="4" charset="-122"/>
                <a:cs typeface="方正小标宋简体" panose="03000509000000000000" pitchFamily="4" charset="-122"/>
                <a:sym typeface="Times New Roman" panose="02020603050405020304" charset="0"/>
              </a:rPr>
              <a:t>年全市粮食作物产量</a:t>
            </a:r>
            <a:endParaRPr b="0">
              <a:solidFill>
                <a:sysClr val="windowText" lastClr="000000"/>
              </a:solidFill>
              <a:latin typeface="方正小标宋简体" panose="03000509000000000000" pitchFamily="4" charset="-122"/>
              <a:ea typeface="方正小标宋简体" panose="03000509000000000000" pitchFamily="4" charset="-122"/>
              <a:cs typeface="方正小标宋简体" panose="03000509000000000000" pitchFamily="4" charset="-122"/>
              <a:sym typeface="Times New Roman" panose="02020603050405020304" charset="0"/>
            </a:endParaRP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62982410081386"/>
          <c:y val="0.280976508521419"/>
          <c:w val="0.745917563665004"/>
          <c:h val="0.58023952095808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[数据.xlsx]Sheet1!$D$22</c:f>
              <c:strCache>
                <c:ptCount val="1"/>
                <c:pt idx="0">
                  <c:v>粮食作物产量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[数据.xlsx]Sheet1!$C$23:$C$25</c:f>
              <c:strCache>
                <c:ptCount val="3"/>
                <c:pt idx="0">
                  <c:v>2023年</c:v>
                </c:pt>
                <c:pt idx="1">
                  <c:v>2024年</c:v>
                </c:pt>
                <c:pt idx="2">
                  <c:v>2025年</c:v>
                </c:pt>
              </c:strCache>
            </c:strRef>
          </c:cat>
          <c:val>
            <c:numRef>
              <c:f>[数据.xlsx]Sheet1!$D$23:$D$25</c:f>
              <c:numCache>
                <c:formatCode>General</c:formatCode>
                <c:ptCount val="3"/>
                <c:pt idx="0">
                  <c:v>228.6</c:v>
                </c:pt>
                <c:pt idx="1">
                  <c:v>233.6</c:v>
                </c:pt>
                <c:pt idx="2">
                  <c:v>237.3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46"/>
        <c:overlap val="-28"/>
        <c:axId val="695232165"/>
        <c:axId val="778120305"/>
      </c:barChart>
      <c:catAx>
        <c:axId val="695232165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1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  <c:crossAx val="778120305"/>
        <c:crosses val="autoZero"/>
        <c:auto val="1"/>
        <c:lblAlgn val="ctr"/>
        <c:lblOffset val="100"/>
        <c:noMultiLvlLbl val="0"/>
      </c:catAx>
      <c:valAx>
        <c:axId val="77812030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02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0" vertOverflow="ellipsis" vert="horz" wrap="square" anchor="ctr" anchorCtr="1"/>
              <a:lstStyle/>
              <a:p>
                <a:pPr defTabSz="914400">
                  <a:defRPr lang="zh-CN"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defRPr>
                </a:pPr>
                <a:r>
                  <a:rPr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rPr>
                  <a:t>（亿斤）</a:t>
                </a:r>
                <a:endParaRPr>
                  <a:latin typeface="Times New Roman" panose="02020603050405020304" charset="0"/>
                  <a:ea typeface="Times New Roman" panose="02020603050405020304" charset="0"/>
                  <a:cs typeface="Times New Roman" panose="02020603050405020304" charset="0"/>
                  <a:sym typeface="Times New Roman" panose="02020603050405020304" charset="0"/>
                </a:endParaRPr>
              </a:p>
            </c:rich>
          </c:tx>
          <c:layout>
            <c:manualLayout>
              <c:xMode val="edge"/>
              <c:yMode val="edge"/>
              <c:x val="0.0648718825464561"/>
              <c:y val="0.172004894129376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#,##0.0_);[Red]\(#,##0.0\)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1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  <c:crossAx val="69523216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56ce2723-3cf5-4d5b-a568-e560ad65075a}"/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zh-CN" b="1">
          <a:solidFill>
            <a:sysClr val="windowText" lastClr="000000"/>
          </a:solidFill>
          <a:latin typeface="Times New Roman" panose="02020603050405020304" charset="0"/>
          <a:ea typeface="Times New Roman" panose="02020603050405020304" charset="0"/>
          <a:cs typeface="Times New Roman" panose="02020603050405020304" charset="0"/>
          <a:sym typeface="Times New Roman" panose="02020603050405020304" charset="0"/>
        </a:defRPr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4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sz="1400" b="0">
                <a:solidFill>
                  <a:sysClr val="windowText" lastClr="000000"/>
                </a:solidFill>
                <a:latin typeface="方正小标宋简体" panose="03000509000000000000" pitchFamily="4" charset="-122"/>
                <a:ea typeface="方正小标宋简体" panose="03000509000000000000" pitchFamily="4" charset="-122"/>
                <a:cs typeface="方正小标宋简体" panose="03000509000000000000" pitchFamily="4" charset="-122"/>
              </a:rPr>
              <a:t>202</a:t>
            </a:r>
            <a:r>
              <a:rPr lang="en-US" altLang="zh-CN" sz="1400" b="0">
                <a:solidFill>
                  <a:sysClr val="windowText" lastClr="000000"/>
                </a:solidFill>
                <a:latin typeface="方正小标宋简体" panose="03000509000000000000" pitchFamily="4" charset="-122"/>
                <a:ea typeface="方正小标宋简体" panose="03000509000000000000" pitchFamily="4" charset="-122"/>
                <a:cs typeface="方正小标宋简体" panose="03000509000000000000" pitchFamily="4" charset="-122"/>
              </a:rPr>
              <a:t>3</a:t>
            </a:r>
            <a:r>
              <a:rPr sz="1400" b="0">
                <a:solidFill>
                  <a:sysClr val="windowText" lastClr="000000"/>
                </a:solidFill>
                <a:latin typeface="方正小标宋简体" panose="03000509000000000000" pitchFamily="4" charset="-122"/>
                <a:ea typeface="方正小标宋简体" panose="03000509000000000000" pitchFamily="4" charset="-122"/>
                <a:cs typeface="方正小标宋简体" panose="03000509000000000000" pitchFamily="4" charset="-122"/>
              </a:rPr>
              <a:t>年</a:t>
            </a:r>
            <a:r>
              <a:rPr lang="en-US" altLang="zh-CN" sz="1400" b="0">
                <a:solidFill>
                  <a:sysClr val="windowText" lastClr="000000"/>
                </a:solidFill>
                <a:latin typeface="方正小标宋简体" panose="03000509000000000000" pitchFamily="4" charset="-122"/>
                <a:ea typeface="方正小标宋简体" panose="03000509000000000000" pitchFamily="4" charset="-122"/>
                <a:cs typeface="方正小标宋简体" panose="03000509000000000000" pitchFamily="4" charset="-122"/>
              </a:rPr>
              <a:t> </a:t>
            </a:r>
            <a:r>
              <a:rPr sz="1400" b="0">
                <a:solidFill>
                  <a:sysClr val="windowText" lastClr="000000"/>
                </a:solidFill>
                <a:latin typeface="方正小标宋简体" panose="03000509000000000000" pitchFamily="4" charset="-122"/>
                <a:ea typeface="方正小标宋简体" panose="03000509000000000000" pitchFamily="4" charset="-122"/>
                <a:cs typeface="方正小标宋简体" panose="03000509000000000000" pitchFamily="4" charset="-122"/>
              </a:rPr>
              <a:t>- 202</a:t>
            </a:r>
            <a:r>
              <a:rPr lang="en-US" altLang="zh-CN" sz="1400" b="0">
                <a:solidFill>
                  <a:sysClr val="windowText" lastClr="000000"/>
                </a:solidFill>
                <a:latin typeface="方正小标宋简体" panose="03000509000000000000" pitchFamily="4" charset="-122"/>
                <a:ea typeface="方正小标宋简体" panose="03000509000000000000" pitchFamily="4" charset="-122"/>
                <a:cs typeface="方正小标宋简体" panose="03000509000000000000" pitchFamily="4" charset="-122"/>
              </a:rPr>
              <a:t>5</a:t>
            </a:r>
            <a:r>
              <a:rPr sz="1400" b="0">
                <a:solidFill>
                  <a:sysClr val="windowText" lastClr="000000"/>
                </a:solidFill>
                <a:latin typeface="方正小标宋简体" panose="03000509000000000000" pitchFamily="4" charset="-122"/>
                <a:ea typeface="方正小标宋简体" panose="03000509000000000000" pitchFamily="4" charset="-122"/>
                <a:cs typeface="方正小标宋简体" panose="03000509000000000000" pitchFamily="4" charset="-122"/>
              </a:rPr>
              <a:t>年全市规上工业增加值增速</a:t>
            </a:r>
            <a:endParaRPr sz="1400" b="0">
              <a:solidFill>
                <a:sysClr val="windowText" lastClr="000000"/>
              </a:solidFill>
              <a:latin typeface="方正小标宋简体" panose="03000509000000000000" pitchFamily="4" charset="-122"/>
              <a:ea typeface="方正小标宋简体" panose="03000509000000000000" pitchFamily="4" charset="-122"/>
              <a:cs typeface="方正小标宋简体" panose="03000509000000000000" pitchFamily="4" charset="-122"/>
            </a:endParaRPr>
          </a:p>
        </c:rich>
      </c:tx>
      <c:layout>
        <c:manualLayout>
          <c:xMode val="edge"/>
          <c:yMode val="edge"/>
          <c:x val="0.165287084482985"/>
          <c:y val="0.0275355667737494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33158309267524"/>
          <c:y val="0.246843434343434"/>
          <c:w val="0.780336046206353"/>
          <c:h val="0.63270202020202"/>
        </c:manualLayout>
      </c:layout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  <a:headEnd type="diamond"/>
              <a:tailEnd type="diamond"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1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[数据.xlsx]Sheet1!$C$30:$C$32</c:f>
              <c:strCache>
                <c:ptCount val="3"/>
                <c:pt idx="0">
                  <c:v>2023年</c:v>
                </c:pt>
                <c:pt idx="1">
                  <c:v>2024年</c:v>
                </c:pt>
                <c:pt idx="2">
                  <c:v>2025年</c:v>
                </c:pt>
              </c:strCache>
            </c:strRef>
          </c:cat>
          <c:val>
            <c:numRef>
              <c:f>[数据.xlsx]Sheet1!$D$30:$D$32</c:f>
              <c:numCache>
                <c:formatCode>General</c:formatCode>
                <c:ptCount val="3"/>
                <c:pt idx="0">
                  <c:v>1.8</c:v>
                </c:pt>
                <c:pt idx="1">
                  <c:v>7.7</c:v>
                </c:pt>
                <c:pt idx="2">
                  <c:v>7.8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0"/>
        <c:smooth val="0"/>
        <c:axId val="299299191"/>
        <c:axId val="893067695"/>
      </c:lineChart>
      <c:catAx>
        <c:axId val="299299191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1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</a:p>
        </c:txPr>
        <c:crossAx val="893067695"/>
        <c:crosses val="autoZero"/>
        <c:auto val="1"/>
        <c:lblAlgn val="ctr"/>
        <c:lblOffset val="100"/>
        <c:noMultiLvlLbl val="0"/>
      </c:catAx>
      <c:valAx>
        <c:axId val="89306769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02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0" vertOverflow="ellipsis" vert="horz" wrap="square" anchor="ctr" anchorCtr="1"/>
              <a:lstStyle/>
              <a:p>
                <a:pPr defTabSz="914400">
                  <a:defRPr lang="zh-CN" sz="11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t>（</a:t>
                </a:r>
                <a:r>
                  <a:rPr lang="en-US" altLang="zh-CN"/>
                  <a:t>%</a:t>
                </a:r>
                <a:r>
                  <a:t>）</a:t>
                </a:r>
              </a:p>
            </c:rich>
          </c:tx>
          <c:layout>
            <c:manualLayout>
              <c:xMode val="edge"/>
              <c:yMode val="edge"/>
              <c:x val="0.0515074197751461"/>
              <c:y val="0.152713112910229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#,##0.0_);[Red]\(#,##0.0\)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1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</a:p>
        </c:txPr>
        <c:crossAx val="29929919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b1f5e895-75f9-4d04-9e91-4023ed2a5a3f}"/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zh-CN" sz="1100" b="1">
          <a:solidFill>
            <a:sysClr val="windowText" lastClr="000000"/>
          </a:solidFill>
        </a:defRPr>
      </a:pPr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4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sz="1400" b="0">
                <a:solidFill>
                  <a:sysClr val="windowText" lastClr="000000"/>
                </a:solidFill>
                <a:latin typeface="方正小标宋简体" panose="03000509000000000000" pitchFamily="4" charset="-122"/>
                <a:ea typeface="方正小标宋简体" panose="03000509000000000000" pitchFamily="4" charset="-122"/>
                <a:cs typeface="方正小标宋简体" panose="03000509000000000000" pitchFamily="4" charset="-122"/>
              </a:rPr>
              <a:t>202</a:t>
            </a:r>
            <a:r>
              <a:rPr lang="en-US" altLang="zh-CN" sz="1400" b="0">
                <a:solidFill>
                  <a:sysClr val="windowText" lastClr="000000"/>
                </a:solidFill>
                <a:latin typeface="方正小标宋简体" panose="03000509000000000000" pitchFamily="4" charset="-122"/>
                <a:ea typeface="方正小标宋简体" panose="03000509000000000000" pitchFamily="4" charset="-122"/>
                <a:cs typeface="方正小标宋简体" panose="03000509000000000000" pitchFamily="4" charset="-122"/>
              </a:rPr>
              <a:t>3</a:t>
            </a:r>
            <a:r>
              <a:rPr sz="1400" b="0">
                <a:solidFill>
                  <a:sysClr val="windowText" lastClr="000000"/>
                </a:solidFill>
                <a:latin typeface="方正小标宋简体" panose="03000509000000000000" pitchFamily="4" charset="-122"/>
                <a:ea typeface="方正小标宋简体" panose="03000509000000000000" pitchFamily="4" charset="-122"/>
                <a:cs typeface="方正小标宋简体" panose="03000509000000000000" pitchFamily="4" charset="-122"/>
              </a:rPr>
              <a:t>年</a:t>
            </a:r>
            <a:r>
              <a:rPr lang="en-US" altLang="zh-CN" sz="1400" b="0">
                <a:solidFill>
                  <a:sysClr val="windowText" lastClr="000000"/>
                </a:solidFill>
                <a:latin typeface="方正小标宋简体" panose="03000509000000000000" pitchFamily="4" charset="-122"/>
                <a:ea typeface="方正小标宋简体" panose="03000509000000000000" pitchFamily="4" charset="-122"/>
                <a:cs typeface="方正小标宋简体" panose="03000509000000000000" pitchFamily="4" charset="-122"/>
              </a:rPr>
              <a:t> </a:t>
            </a:r>
            <a:r>
              <a:rPr sz="1400" b="0">
                <a:solidFill>
                  <a:sysClr val="windowText" lastClr="000000"/>
                </a:solidFill>
                <a:latin typeface="方正小标宋简体" panose="03000509000000000000" pitchFamily="4" charset="-122"/>
                <a:ea typeface="方正小标宋简体" panose="03000509000000000000" pitchFamily="4" charset="-122"/>
                <a:cs typeface="方正小标宋简体" panose="03000509000000000000" pitchFamily="4" charset="-122"/>
              </a:rPr>
              <a:t>- 20</a:t>
            </a:r>
            <a:r>
              <a:rPr lang="en-US" altLang="zh-CN" sz="1400" b="0">
                <a:solidFill>
                  <a:sysClr val="windowText" lastClr="000000"/>
                </a:solidFill>
                <a:latin typeface="方正小标宋简体" panose="03000509000000000000" pitchFamily="4" charset="-122"/>
                <a:ea typeface="方正小标宋简体" panose="03000509000000000000" pitchFamily="4" charset="-122"/>
                <a:cs typeface="方正小标宋简体" panose="03000509000000000000" pitchFamily="4" charset="-122"/>
              </a:rPr>
              <a:t>25</a:t>
            </a:r>
            <a:r>
              <a:rPr sz="1400" b="0">
                <a:solidFill>
                  <a:sysClr val="windowText" lastClr="000000"/>
                </a:solidFill>
                <a:latin typeface="方正小标宋简体" panose="03000509000000000000" pitchFamily="4" charset="-122"/>
                <a:ea typeface="方正小标宋简体" panose="03000509000000000000" pitchFamily="4" charset="-122"/>
                <a:cs typeface="方正小标宋简体" panose="03000509000000000000" pitchFamily="4" charset="-122"/>
              </a:rPr>
              <a:t>年全市固定资产投资增速</a:t>
            </a:r>
            <a:endParaRPr sz="1400" b="0">
              <a:solidFill>
                <a:sysClr val="windowText" lastClr="000000"/>
              </a:solidFill>
              <a:latin typeface="方正小标宋简体" panose="03000509000000000000" pitchFamily="4" charset="-122"/>
              <a:ea typeface="方正小标宋简体" panose="03000509000000000000" pitchFamily="4" charset="-122"/>
              <a:cs typeface="方正小标宋简体" panose="03000509000000000000" pitchFamily="4" charset="-122"/>
            </a:endParaRPr>
          </a:p>
        </c:rich>
      </c:tx>
      <c:layout>
        <c:manualLayout>
          <c:xMode val="edge"/>
          <c:yMode val="edge"/>
          <c:x val="0.199146197323554"/>
          <c:y val="0.0305045871559633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34410296821644"/>
          <c:y val="0.235847128550991"/>
          <c:w val="0.783635408458104"/>
          <c:h val="0.642264459431841"/>
        </c:manualLayout>
      </c:layout>
      <c:lineChart>
        <c:grouping val="standard"/>
        <c:varyColors val="0"/>
        <c:ser>
          <c:idx val="0"/>
          <c:order val="0"/>
          <c:tx>
            <c:strRef>
              <c:f>[数据.xlsx]Sheet1!$D$43</c:f>
              <c:strCache>
                <c:ptCount val="1"/>
                <c:pt idx="0">
                  <c:v>增速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  <a:headEnd type="diamond"/>
              <a:tailEnd type="diamond"/>
            </a:ln>
            <a:effectLst/>
          </c:spPr>
          <c:marker>
            <c:symbol val="none"/>
          </c:marker>
          <c:dPt>
            <c:idx val="1"/>
            <c:marker>
              <c:symbol val="none"/>
            </c:marker>
            <c:bubble3D val="0"/>
            <c:spPr>
              <a:ln w="28575" cap="rnd">
                <a:solidFill>
                  <a:schemeClr val="accent6">
                    <a:lumMod val="75000"/>
                  </a:schemeClr>
                </a:solidFill>
                <a:round/>
                <a:headEnd type="diamond"/>
                <a:tailEnd type="diamond"/>
              </a:ln>
              <a:effectLst/>
            </c:spPr>
          </c:dPt>
          <c:dPt>
            <c:idx val="2"/>
            <c:marker>
              <c:symbol val="none"/>
            </c:marker>
            <c:bubble3D val="0"/>
            <c:spPr>
              <a:ln w="28575" cap="rnd">
                <a:solidFill>
                  <a:schemeClr val="accent6">
                    <a:lumMod val="75000"/>
                  </a:schemeClr>
                </a:solidFill>
                <a:round/>
                <a:headEnd type="diamond"/>
                <a:tailEnd type="diamond"/>
              </a:ln>
              <a:effectLst/>
            </c:spPr>
          </c:dPt>
          <c:dLbls>
            <c:dLbl>
              <c:idx val="0"/>
              <c:layout>
                <c:manualLayout>
                  <c:x val="-0.0189125295508274"/>
                  <c:y val="-0.00265685673410995"/>
                </c:manualLayout>
              </c:layout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1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[数据.xlsx]Sheet1!$C$44:$C$46</c:f>
              <c:strCache>
                <c:ptCount val="3"/>
                <c:pt idx="0">
                  <c:v>2023年</c:v>
                </c:pt>
                <c:pt idx="1">
                  <c:v>2024年</c:v>
                </c:pt>
                <c:pt idx="2">
                  <c:v>2025年</c:v>
                </c:pt>
              </c:strCache>
            </c:strRef>
          </c:cat>
          <c:val>
            <c:numRef>
              <c:f>[数据.xlsx]Sheet1!$D$44:$D$46</c:f>
              <c:numCache>
                <c:formatCode>General</c:formatCode>
                <c:ptCount val="3"/>
                <c:pt idx="0">
                  <c:v>-31.9</c:v>
                </c:pt>
                <c:pt idx="1">
                  <c:v>2.2</c:v>
                </c:pt>
                <c:pt idx="2">
                  <c:v>-11.5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0"/>
        <c:smooth val="0"/>
        <c:axId val="119510124"/>
        <c:axId val="399969267"/>
      </c:lineChart>
      <c:catAx>
        <c:axId val="119510124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1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</a:p>
        </c:txPr>
        <c:crossAx val="399969267"/>
        <c:crossesAt val="-40"/>
        <c:auto val="1"/>
        <c:lblAlgn val="ctr"/>
        <c:lblOffset val="100"/>
        <c:noMultiLvlLbl val="0"/>
      </c:catAx>
      <c:valAx>
        <c:axId val="39996926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02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0" vertOverflow="ellipsis" vert="horz" wrap="square" anchor="ctr" anchorCtr="1"/>
              <a:lstStyle/>
              <a:p>
                <a:pPr defTabSz="914400">
                  <a:defRPr lang="zh-CN" sz="11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sz="1100" b="1">
                    <a:solidFill>
                      <a:sysClr val="windowText" lastClr="000000"/>
                    </a:solidFill>
                  </a:rPr>
                  <a:t>（</a:t>
                </a:r>
                <a:r>
                  <a:rPr lang="en-US" altLang="zh-CN" sz="1100" b="1">
                    <a:solidFill>
                      <a:sysClr val="windowText" lastClr="000000"/>
                    </a:solidFill>
                  </a:rPr>
                  <a:t>%</a:t>
                </a:r>
                <a:r>
                  <a:rPr sz="1100" b="1">
                    <a:solidFill>
                      <a:sysClr val="windowText" lastClr="000000"/>
                    </a:solidFill>
                  </a:rPr>
                  <a:t>）</a:t>
                </a:r>
                <a:endParaRPr sz="1100" b="1">
                  <a:solidFill>
                    <a:sysClr val="windowText" lastClr="000000"/>
                  </a:solidFill>
                </a:endParaRPr>
              </a:p>
            </c:rich>
          </c:tx>
          <c:layout>
            <c:manualLayout>
              <c:xMode val="edge"/>
              <c:yMode val="edge"/>
              <c:x val="0.0512174156153238"/>
              <c:y val="0.137422287963706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#,##0.0_ 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1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</a:p>
        </c:txPr>
        <c:crossAx val="1195101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ace02bff-eed8-42fd-89bd-96d70306ddea}"/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zh-CN" sz="1100" b="1">
          <a:solidFill>
            <a:sysClr val="windowText" lastClr="000000"/>
          </a:solidFill>
        </a:defRPr>
      </a:pPr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400" b="1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  <a:r>
              <a:rPr b="0">
                <a:solidFill>
                  <a:sysClr val="windowText" lastClr="000000"/>
                </a:solidFill>
                <a:latin typeface="方正小标宋简体" panose="03000509000000000000" pitchFamily="4" charset="-122"/>
                <a:ea typeface="方正小标宋简体" panose="03000509000000000000" pitchFamily="4" charset="-122"/>
                <a:cs typeface="方正小标宋简体" panose="03000509000000000000" pitchFamily="4" charset="-122"/>
                <a:sym typeface="Times New Roman" panose="02020603050405020304" charset="0"/>
              </a:rPr>
              <a:t>2025年三次产业投资占固定资产比重</a:t>
            </a:r>
            <a:endParaRPr b="0">
              <a:solidFill>
                <a:sysClr val="windowText" lastClr="000000"/>
              </a:solidFill>
              <a:latin typeface="方正小标宋简体" panose="03000509000000000000" pitchFamily="4" charset="-122"/>
              <a:ea typeface="方正小标宋简体" panose="03000509000000000000" pitchFamily="4" charset="-122"/>
              <a:cs typeface="方正小标宋简体" panose="03000509000000000000" pitchFamily="4" charset="-122"/>
              <a:sym typeface="Times New Roman" panose="02020603050405020304" charset="0"/>
            </a:endParaRPr>
          </a:p>
        </c:rich>
      </c:tx>
      <c:layout>
        <c:manualLayout>
          <c:xMode val="edge"/>
          <c:yMode val="edge"/>
          <c:x val="0.208207485226527"/>
          <c:y val="0.039485766758494"/>
        </c:manualLayout>
      </c:layout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effectLst/>
      </c:spPr>
    </c:floor>
    <c:sideWall>
      <c:thickness val="0"/>
      <c:spPr>
        <a:noFill/>
        <a:effectLst/>
      </c:spPr>
    </c:sideWall>
    <c:backWall>
      <c:thickness val="0"/>
      <c:spPr>
        <a:noFill/>
        <a:effectLst/>
      </c:spPr>
    </c:backWall>
    <c:plotArea>
      <c:layout>
        <c:manualLayout>
          <c:layoutTarget val="inner"/>
          <c:xMode val="edge"/>
          <c:yMode val="edge"/>
          <c:x val="0.101993127147766"/>
          <c:y val="0.241080038572806"/>
          <c:w val="0.824742268041237"/>
          <c:h val="0.600048216007715"/>
        </c:manualLayout>
      </c:layout>
      <c:pie3DChart>
        <c:varyColors val="1"/>
        <c:ser>
          <c:idx val="0"/>
          <c:order val="0"/>
          <c:spPr>
            <a:scene3d>
              <a:camera prst="orthographicFront"/>
              <a:lightRig rig="threePt" dir="t"/>
            </a:scene3d>
            <a:sp3d contourW="9525"/>
          </c:spPr>
          <c:explosion val="0"/>
          <c:dPt>
            <c:idx val="0"/>
            <c:bubble3D val="0"/>
            <c:spPr>
              <a:solidFill>
                <a:schemeClr val="accent2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4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6"/>
              </a:solidFill>
              <a:ln>
                <a:solidFill>
                  <a:schemeClr val="bg1"/>
                </a:solidFill>
              </a:ln>
              <a:effectLst/>
            </c:spPr>
          </c:dPt>
          <c:dLbls>
            <c:dLbl>
              <c:idx val="0"/>
              <c:layout>
                <c:manualLayout>
                  <c:x val="0.0220125544148186"/>
                  <c:y val="0.00484337190574586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1000" b="1" i="0" u="none" strike="noStrike" kern="1200" baseline="0">
                        <a:solidFill>
                          <a:sysClr val="windowText" lastClr="000000"/>
                        </a:solidFill>
                        <a:latin typeface="Times New Roman" panose="02020603050405020304" charset="0"/>
                        <a:ea typeface="Times New Roman" panose="02020603050405020304" charset="0"/>
                        <a:cs typeface="Times New Roman" panose="02020603050405020304" charset="0"/>
                        <a:sym typeface="Times New Roman" panose="02020603050405020304" charset="0"/>
                      </a:defRPr>
                    </a:pPr>
                    <a:r>
                      <a:rPr b="1">
                        <a:solidFill>
                          <a:sysClr val="windowText" lastClr="000000"/>
                        </a:solidFill>
                        <a:latin typeface="Times New Roman" panose="02020603050405020304" charset="0"/>
                        <a:ea typeface="Times New Roman" panose="02020603050405020304" charset="0"/>
                        <a:cs typeface="Times New Roman" panose="02020603050405020304" charset="0"/>
                        <a:sym typeface="Times New Roman" panose="02020603050405020304" charset="0"/>
                      </a:rPr>
                      <a:t>18.1%</a:t>
                    </a:r>
                    <a:endParaRPr b="1">
                      <a:solidFill>
                        <a:sysClr val="windowText" lastClr="000000"/>
                      </a:solidFill>
                      <a:latin typeface="Times New Roman" panose="02020603050405020304" charset="0"/>
                      <a:ea typeface="Times New Roman" panose="02020603050405020304" charset="0"/>
                      <a:cs typeface="Times New Roman" panose="02020603050405020304" charset="0"/>
                      <a:sym typeface="Times New Roman" panose="02020603050405020304" charset="0"/>
                    </a:endParaRPr>
                  </a:p>
                </c:rich>
              </c:tx>
              <c:numFmt formatCode="General" sourceLinked="1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zh-CN" sz="1000" b="1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charset="0"/>
                      <a:ea typeface="Times New Roman" panose="02020603050405020304" charset="0"/>
                      <a:cs typeface="Times New Roman" panose="02020603050405020304" charset="0"/>
                      <a:sym typeface="Times New Roman" panose="02020603050405020304" charset="0"/>
                    </a:defRPr>
                  </a:pPr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.060853455317326"/>
                  <c:y val="-0.0536394452374733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1000" b="1" i="0" u="none" strike="noStrike" kern="1200" baseline="0">
                        <a:solidFill>
                          <a:sysClr val="windowText" lastClr="000000"/>
                        </a:solidFill>
                        <a:latin typeface="Times New Roman" panose="02020603050405020304" charset="0"/>
                        <a:ea typeface="Times New Roman" panose="02020603050405020304" charset="0"/>
                        <a:cs typeface="Times New Roman" panose="02020603050405020304" charset="0"/>
                        <a:sym typeface="Times New Roman" panose="02020603050405020304" charset="0"/>
                      </a:defRPr>
                    </a:pPr>
                    <a:r>
                      <a:rPr b="1">
                        <a:solidFill>
                          <a:sysClr val="windowText" lastClr="000000"/>
                        </a:solidFill>
                        <a:latin typeface="Times New Roman" panose="02020603050405020304" charset="0"/>
                        <a:ea typeface="Times New Roman" panose="02020603050405020304" charset="0"/>
                        <a:cs typeface="Times New Roman" panose="02020603050405020304" charset="0"/>
                        <a:sym typeface="Times New Roman" panose="02020603050405020304" charset="0"/>
                      </a:rPr>
                      <a:t>35.8%</a:t>
                    </a:r>
                    <a:endParaRPr b="1">
                      <a:solidFill>
                        <a:sysClr val="windowText" lastClr="000000"/>
                      </a:solidFill>
                      <a:latin typeface="Times New Roman" panose="02020603050405020304" charset="0"/>
                      <a:ea typeface="Times New Roman" panose="02020603050405020304" charset="0"/>
                      <a:cs typeface="Times New Roman" panose="02020603050405020304" charset="0"/>
                      <a:sym typeface="Times New Roman" panose="02020603050405020304" charset="0"/>
                    </a:endParaRPr>
                  </a:p>
                </c:rich>
              </c:tx>
              <c:numFmt formatCode="General" sourceLinked="1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zh-CN" sz="1000" b="1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charset="0"/>
                      <a:ea typeface="Times New Roman" panose="02020603050405020304" charset="0"/>
                      <a:cs typeface="Times New Roman" panose="02020603050405020304" charset="0"/>
                      <a:sym typeface="Times New Roman" panose="02020603050405020304" charset="0"/>
                    </a:defRPr>
                  </a:pPr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.0363248838967313"/>
                  <c:y val="-0.118931629361263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1000" b="1" i="0" u="none" strike="noStrike" kern="1200" baseline="0">
                        <a:solidFill>
                          <a:sysClr val="windowText" lastClr="000000"/>
                        </a:solidFill>
                        <a:latin typeface="Times New Roman" panose="02020603050405020304" charset="0"/>
                        <a:ea typeface="Times New Roman" panose="02020603050405020304" charset="0"/>
                        <a:cs typeface="Times New Roman" panose="02020603050405020304" charset="0"/>
                        <a:sym typeface="Times New Roman" panose="02020603050405020304" charset="0"/>
                      </a:defRPr>
                    </a:pPr>
                    <a:r>
                      <a:rPr b="1">
                        <a:solidFill>
                          <a:sysClr val="windowText" lastClr="000000"/>
                        </a:solidFill>
                        <a:latin typeface="Times New Roman" panose="02020603050405020304" charset="0"/>
                        <a:ea typeface="Times New Roman" panose="02020603050405020304" charset="0"/>
                        <a:cs typeface="Times New Roman" panose="02020603050405020304" charset="0"/>
                        <a:sym typeface="Times New Roman" panose="02020603050405020304" charset="0"/>
                      </a:rPr>
                      <a:t>46.1%</a:t>
                    </a:r>
                    <a:endParaRPr b="1">
                      <a:solidFill>
                        <a:sysClr val="windowText" lastClr="000000"/>
                      </a:solidFill>
                      <a:latin typeface="Times New Roman" panose="02020603050405020304" charset="0"/>
                      <a:ea typeface="Times New Roman" panose="02020603050405020304" charset="0"/>
                      <a:cs typeface="Times New Roman" panose="02020603050405020304" charset="0"/>
                      <a:sym typeface="Times New Roman" panose="02020603050405020304" charset="0"/>
                    </a:endParaRPr>
                  </a:p>
                </c:rich>
              </c:tx>
              <c:numFmt formatCode="General" sourceLinked="1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zh-CN" sz="1000" b="1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charset="0"/>
                      <a:ea typeface="Times New Roman" panose="02020603050405020304" charset="0"/>
                      <a:cs typeface="Times New Roman" panose="02020603050405020304" charset="0"/>
                      <a:sym typeface="Times New Roman" panose="02020603050405020304" charset="0"/>
                    </a:defRPr>
                  </a:pPr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defRPr>
                </a:pPr>
              </a:p>
            </c:txPr>
            <c:dLblPos val="inEnd"/>
            <c:showLegendKey val="0"/>
            <c:showVal val="1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[数据.xlsx]Sheet1!$C$50:$C$52</c:f>
              <c:strCache>
                <c:ptCount val="3"/>
                <c:pt idx="0">
                  <c:v>第一产业</c:v>
                </c:pt>
                <c:pt idx="1">
                  <c:v>第二产业</c:v>
                </c:pt>
                <c:pt idx="2">
                  <c:v>第三产业</c:v>
                </c:pt>
              </c:strCache>
            </c:strRef>
          </c:cat>
          <c:val>
            <c:numRef>
              <c:f>[数据.xlsx]Sheet1!$D$50:$D$52</c:f>
              <c:numCache>
                <c:formatCode>0.0%</c:formatCode>
                <c:ptCount val="3"/>
                <c:pt idx="0">
                  <c:v>0.181</c:v>
                </c:pt>
                <c:pt idx="1">
                  <c:v>0.358</c:v>
                </c:pt>
                <c:pt idx="2">
                  <c:v>0.461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</c:pie3DChart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0" vertOverflow="ellipsis" vert="horz" wrap="square" anchor="ctr" anchorCtr="1"/>
          <a:lstStyle/>
          <a:p>
            <a:pPr>
              <a:defRPr lang="zh-CN" sz="900" b="1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</c:legendEntry>
      <c:legendEntry>
        <c:idx val="1"/>
        <c:txPr>
          <a:bodyPr rot="0" spcFirstLastPara="0" vertOverflow="ellipsis" vert="horz" wrap="square" anchor="ctr" anchorCtr="1"/>
          <a:lstStyle/>
          <a:p>
            <a:pPr>
              <a:defRPr lang="zh-CN" sz="900" b="1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</c:legendEntry>
      <c:legendEntry>
        <c:idx val="2"/>
        <c:txPr>
          <a:bodyPr rot="0" spcFirstLastPara="0" vertOverflow="ellipsis" vert="horz" wrap="square" anchor="ctr" anchorCtr="1"/>
          <a:lstStyle/>
          <a:p>
            <a:pPr>
              <a:defRPr lang="zh-CN" sz="900" b="1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</c:legendEntry>
      <c:layout>
        <c:manualLayout>
          <c:xMode val="edge"/>
          <c:yMode val="edge"/>
          <c:x val="0.292865010402644"/>
          <c:y val="0.896243701328447"/>
          <c:w val="0.440704932076857"/>
          <c:h val="0.076271186440678"/>
        </c:manualLayout>
      </c:layout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1" i="0" u="none" strike="noStrike" kern="1200" baseline="0">
              <a:solidFill>
                <a:sysClr val="windowText" lastClr="000000"/>
              </a:solidFill>
              <a:latin typeface="Times New Roman" panose="02020603050405020304" charset="0"/>
              <a:ea typeface="Times New Roman" panose="02020603050405020304" charset="0"/>
              <a:cs typeface="Times New Roman" panose="02020603050405020304" charset="0"/>
              <a:sym typeface="Times New Roman" panose="02020603050405020304" charset="0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f0422489-d211-4705-924d-67d63877c42a}"/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zh-CN" b="1">
          <a:solidFill>
            <a:sysClr val="windowText" lastClr="000000"/>
          </a:solidFill>
          <a:latin typeface="Times New Roman" panose="02020603050405020304" charset="0"/>
          <a:ea typeface="Times New Roman" panose="02020603050405020304" charset="0"/>
          <a:cs typeface="Times New Roman" panose="02020603050405020304" charset="0"/>
          <a:sym typeface="Times New Roman" panose="02020603050405020304" charset="0"/>
        </a:defRPr>
      </a:pPr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400" b="1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  <a:r>
              <a:rPr sz="1400" b="0">
                <a:solidFill>
                  <a:sysClr val="windowText" lastClr="000000"/>
                </a:solidFill>
                <a:latin typeface="方正小标宋简体" panose="03000509000000000000" pitchFamily="4" charset="-122"/>
                <a:ea typeface="方正小标宋简体" panose="03000509000000000000" pitchFamily="4" charset="-122"/>
                <a:cs typeface="方正小标宋简体" panose="03000509000000000000" pitchFamily="4" charset="-122"/>
                <a:sym typeface="Times New Roman" panose="02020603050405020304" charset="0"/>
              </a:rPr>
              <a:t>202</a:t>
            </a:r>
            <a:r>
              <a:rPr lang="en-US" altLang="zh-CN" sz="1400" b="0">
                <a:solidFill>
                  <a:sysClr val="windowText" lastClr="000000"/>
                </a:solidFill>
                <a:latin typeface="方正小标宋简体" panose="03000509000000000000" pitchFamily="4" charset="-122"/>
                <a:ea typeface="方正小标宋简体" panose="03000509000000000000" pitchFamily="4" charset="-122"/>
                <a:cs typeface="方正小标宋简体" panose="03000509000000000000" pitchFamily="4" charset="-122"/>
                <a:sym typeface="Times New Roman" panose="02020603050405020304" charset="0"/>
              </a:rPr>
              <a:t>3</a:t>
            </a:r>
            <a:r>
              <a:rPr sz="1400" b="0">
                <a:solidFill>
                  <a:sysClr val="windowText" lastClr="000000"/>
                </a:solidFill>
                <a:latin typeface="方正小标宋简体" panose="03000509000000000000" pitchFamily="4" charset="-122"/>
                <a:ea typeface="方正小标宋简体" panose="03000509000000000000" pitchFamily="4" charset="-122"/>
                <a:cs typeface="方正小标宋简体" panose="03000509000000000000" pitchFamily="4" charset="-122"/>
                <a:sym typeface="Times New Roman" panose="02020603050405020304" charset="0"/>
              </a:rPr>
              <a:t>年</a:t>
            </a:r>
            <a:r>
              <a:rPr lang="en-US" altLang="zh-CN" sz="1400" b="0">
                <a:solidFill>
                  <a:sysClr val="windowText" lastClr="000000"/>
                </a:solidFill>
                <a:latin typeface="方正小标宋简体" panose="03000509000000000000" pitchFamily="4" charset="-122"/>
                <a:ea typeface="方正小标宋简体" panose="03000509000000000000" pitchFamily="4" charset="-122"/>
                <a:cs typeface="方正小标宋简体" panose="03000509000000000000" pitchFamily="4" charset="-122"/>
                <a:sym typeface="Times New Roman" panose="02020603050405020304" charset="0"/>
              </a:rPr>
              <a:t> </a:t>
            </a:r>
            <a:r>
              <a:rPr sz="1400" b="0">
                <a:solidFill>
                  <a:sysClr val="windowText" lastClr="000000"/>
                </a:solidFill>
                <a:latin typeface="方正小标宋简体" panose="03000509000000000000" pitchFamily="4" charset="-122"/>
                <a:ea typeface="方正小标宋简体" panose="03000509000000000000" pitchFamily="4" charset="-122"/>
                <a:cs typeface="方正小标宋简体" panose="03000509000000000000" pitchFamily="4" charset="-122"/>
                <a:sym typeface="Times New Roman" panose="02020603050405020304" charset="0"/>
              </a:rPr>
              <a:t>- 202</a:t>
            </a:r>
            <a:r>
              <a:rPr lang="en-US" altLang="zh-CN" sz="1400" b="0">
                <a:solidFill>
                  <a:sysClr val="windowText" lastClr="000000"/>
                </a:solidFill>
                <a:latin typeface="方正小标宋简体" panose="03000509000000000000" pitchFamily="4" charset="-122"/>
                <a:ea typeface="方正小标宋简体" panose="03000509000000000000" pitchFamily="4" charset="-122"/>
                <a:cs typeface="方正小标宋简体" panose="03000509000000000000" pitchFamily="4" charset="-122"/>
                <a:sym typeface="Times New Roman" panose="02020603050405020304" charset="0"/>
              </a:rPr>
              <a:t>5</a:t>
            </a:r>
            <a:r>
              <a:rPr sz="1400" b="0">
                <a:solidFill>
                  <a:sysClr val="windowText" lastClr="000000"/>
                </a:solidFill>
                <a:latin typeface="方正小标宋简体" panose="03000509000000000000" pitchFamily="4" charset="-122"/>
                <a:ea typeface="方正小标宋简体" panose="03000509000000000000" pitchFamily="4" charset="-122"/>
                <a:cs typeface="方正小标宋简体" panose="03000509000000000000" pitchFamily="4" charset="-122"/>
                <a:sym typeface="Times New Roman" panose="02020603050405020304" charset="0"/>
              </a:rPr>
              <a:t>年全市社会消费品零售总额增速</a:t>
            </a:r>
            <a:endParaRPr sz="1400" b="0">
              <a:solidFill>
                <a:sysClr val="windowText" lastClr="000000"/>
              </a:solidFill>
              <a:latin typeface="方正小标宋简体" panose="03000509000000000000" pitchFamily="4" charset="-122"/>
              <a:ea typeface="方正小标宋简体" panose="03000509000000000000" pitchFamily="4" charset="-122"/>
              <a:cs typeface="方正小标宋简体" panose="03000509000000000000" pitchFamily="4" charset="-122"/>
              <a:sym typeface="Times New Roman" panose="02020603050405020304" charset="0"/>
            </a:endParaRPr>
          </a:p>
        </c:rich>
      </c:tx>
      <c:layout>
        <c:manualLayout>
          <c:xMode val="edge"/>
          <c:yMode val="edge"/>
          <c:x val="0.153055983564458"/>
          <c:y val="0.0167424555601488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21520287621983"/>
          <c:y val="0.231707317073171"/>
          <c:w val="0.810041088854648"/>
          <c:h val="0.665274906986358"/>
        </c:manualLayout>
      </c:layout>
      <c:lineChart>
        <c:grouping val="standard"/>
        <c:varyColors val="0"/>
        <c:ser>
          <c:idx val="0"/>
          <c:order val="0"/>
          <c:tx>
            <c:strRef>
              <c:f>[数据.xlsx]Sheet1!$D$56</c:f>
              <c:strCache>
                <c:ptCount val="1"/>
                <c:pt idx="0">
                  <c:v>增速</c:v>
                </c:pt>
              </c:strCache>
            </c:strRef>
          </c:tx>
          <c:spPr>
            <a:ln w="28575" cap="rnd">
              <a:solidFill>
                <a:schemeClr val="accent4">
                  <a:lumMod val="75000"/>
                </a:schemeClr>
              </a:solidFill>
              <a:round/>
              <a:headEnd type="diamond"/>
              <a:tailEnd type="diamond"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1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defRPr>
                </a:pPr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[数据.xlsx]Sheet1!$C$57:$C$59</c:f>
              <c:strCache>
                <c:ptCount val="3"/>
                <c:pt idx="0">
                  <c:v>2023年</c:v>
                </c:pt>
                <c:pt idx="1">
                  <c:v>2024年</c:v>
                </c:pt>
                <c:pt idx="2">
                  <c:v>2025年</c:v>
                </c:pt>
              </c:strCache>
            </c:strRef>
          </c:cat>
          <c:val>
            <c:numRef>
              <c:f>[数据.xlsx]Sheet1!$D$57:$D$59</c:f>
              <c:numCache>
                <c:formatCode>General</c:formatCode>
                <c:ptCount val="3"/>
                <c:pt idx="0">
                  <c:v>10.1</c:v>
                </c:pt>
                <c:pt idx="1">
                  <c:v>-0.9</c:v>
                </c:pt>
                <c:pt idx="2" c:formatCode="0.0_ ">
                  <c:v>5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0"/>
        <c:smooth val="0"/>
        <c:axId val="25651556"/>
        <c:axId val="860003686"/>
      </c:lineChart>
      <c:catAx>
        <c:axId val="25651556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  <c:crossAx val="860003686"/>
        <c:crossesAt val="-4"/>
        <c:auto val="1"/>
        <c:lblAlgn val="ctr"/>
        <c:lblOffset val="100"/>
        <c:noMultiLvlLbl val="0"/>
      </c:catAx>
      <c:valAx>
        <c:axId val="86000368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02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0" vertOverflow="ellipsis" vert="horz" wrap="square" anchor="ctr" anchorCtr="1"/>
              <a:lstStyle/>
              <a:p>
                <a:pPr defTabSz="914400">
                  <a:defRPr lang="zh-CN" sz="11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defRPr>
                </a:pPr>
                <a:r>
                  <a:rPr sz="1100" b="1">
                    <a:solidFill>
                      <a:sysClr val="windowText" lastClr="000000"/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rPr>
                  <a:t>（</a:t>
                </a:r>
                <a:r>
                  <a:rPr lang="en-US" altLang="zh-CN" sz="1100" b="1">
                    <a:solidFill>
                      <a:sysClr val="windowText" lastClr="000000"/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rPr>
                  <a:t>%</a:t>
                </a:r>
                <a:r>
                  <a:rPr sz="1100" b="1">
                    <a:solidFill>
                      <a:sysClr val="windowText" lastClr="000000"/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rPr>
                  <a:t>）</a:t>
                </a:r>
                <a:endParaRPr sz="1100" b="1">
                  <a:solidFill>
                    <a:sysClr val="windowText" lastClr="000000"/>
                  </a:solidFill>
                  <a:latin typeface="Times New Roman" panose="02020603050405020304" charset="0"/>
                  <a:ea typeface="Times New Roman" panose="02020603050405020304" charset="0"/>
                  <a:cs typeface="Times New Roman" panose="02020603050405020304" charset="0"/>
                  <a:sym typeface="Times New Roman" panose="02020603050405020304" charset="0"/>
                </a:endParaRPr>
              </a:p>
            </c:rich>
          </c:tx>
          <c:layout>
            <c:manualLayout>
              <c:xMode val="edge"/>
              <c:yMode val="edge"/>
              <c:x val="0.032948585659316"/>
              <c:y val="0.137155628571836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#,##0.0_ 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  <c:crossAx val="256515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9635a204-6c50-40fe-a921-c222d914f3e8}"/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zh-CN" sz="1100" b="1">
          <a:solidFill>
            <a:sysClr val="windowText" lastClr="000000"/>
          </a:solidFill>
          <a:latin typeface="Times New Roman" panose="02020603050405020304" charset="0"/>
          <a:ea typeface="Times New Roman" panose="02020603050405020304" charset="0"/>
          <a:cs typeface="Times New Roman" panose="02020603050405020304" charset="0"/>
          <a:sym typeface="Times New Roman" panose="02020603050405020304" charset="0"/>
        </a:defRPr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09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solidFill>
          <a:schemeClr val="bg1"/>
        </a:solidFill>
      </a:ln>
      <a:effectLst/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1002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0">
      <cs:styleClr val="auto"/>
    </cs:fillRef>
    <cs:effectRef idx="0"/>
    <cs:fontRef idx="minor">
      <a:schemeClr val="dk1"/>
    </cs:fontRef>
    <cs:spPr>
      <a:ln w="28575" cap="rnd">
        <a:solidFill>
          <a:schemeClr val="phClr"/>
        </a:solidFill>
        <a:round/>
      </a:ln>
      <a:effectLst/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1002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0">
      <cs:styleClr val="auto"/>
    </cs:fillRef>
    <cs:effectRef idx="0"/>
    <cs:fontRef idx="minor">
      <a:schemeClr val="dk1"/>
    </cs:fontRef>
    <cs:spPr>
      <a:ln w="28575" cap="rnd">
        <a:solidFill>
          <a:schemeClr val="phClr"/>
        </a:solidFill>
        <a:round/>
      </a:ln>
      <a:effectLst/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100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noFill/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1009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solidFill>
          <a:schemeClr val="bg1"/>
        </a:solidFill>
      </a:ln>
      <a:effectLst/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1002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0">
      <cs:styleClr val="auto"/>
    </cs:fillRef>
    <cs:effectRef idx="0"/>
    <cs:fontRef idx="minor">
      <a:schemeClr val="dk1"/>
    </cs:fontRef>
    <cs:spPr>
      <a:ln w="28575" cap="rnd">
        <a:solidFill>
          <a:schemeClr val="phClr"/>
        </a:solidFill>
        <a:round/>
      </a:ln>
      <a:effectLst/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4C2A864-7867-4505-9FEB-CD31361FD4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3396</Words>
  <Characters>4569</Characters>
  <Lines>50</Lines>
  <Paragraphs>14</Paragraphs>
  <TotalTime>158</TotalTime>
  <ScaleCrop>false</ScaleCrop>
  <LinksUpToDate>false</LinksUpToDate>
  <CharactersWithSpaces>4741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2023-03-31T07:54:00Z</dcterms:created>
  <dc:creator>Administrator</dc:creator>
  <cp:lastModifiedBy>池笑年</cp:lastModifiedBy>
  <cp:lastPrinted>2026-04-01T03:07:00Z</cp:lastPrinted>
  <dcterms:modified xsi:type="dcterms:W3CDTF">2026-08-20T01:27:00Z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067AED05F6A544BE9EE8FF6F796BBA8C_13</vt:lpwstr>
  </property>
  <property fmtid="{D5CDD505-2E9C-101B-9397-08002B2CF9AE}" pid="4" name="KSOTemplateDocerSaveRecord">
    <vt:lpwstr>eyJoZGlkIjoiNzVmNmNlYTU5ZGM3M2I3NWE1MGMxYWQ3NTIyMDZhZDIiLCJ1c2VySWQiOiIyNzc0Nzk5NDYifQ==</vt:lpwstr>
  </property>
</Properties>
</file>