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A783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both"/>
        <w:textAlignment w:val="auto"/>
        <w:rPr>
          <w:rStyle w:val="11"/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Style w:val="11"/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附件</w:t>
      </w:r>
    </w:p>
    <w:p w14:paraId="737A669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both"/>
        <w:textAlignment w:val="auto"/>
        <w:rPr>
          <w:rStyle w:val="11"/>
          <w:rFonts w:hint="default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</w:p>
    <w:p w14:paraId="40979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Style w:val="11"/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22"/>
          <w:highlight w:val="none"/>
          <w:lang w:val="en-US" w:eastAsia="zh-CN"/>
        </w:rPr>
      </w:pPr>
      <w:r>
        <w:rPr>
          <w:rStyle w:val="11"/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22"/>
          <w:highlight w:val="none"/>
          <w:lang w:val="en-US" w:eastAsia="zh-CN"/>
        </w:rPr>
        <w:t>长青街东原二十中地块等四项控制性详细规划</w:t>
      </w:r>
    </w:p>
    <w:p w14:paraId="3F051C08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7FAB5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一、长青街东原二十中地块控制性详细规划</w:t>
      </w:r>
    </w:p>
    <w:tbl>
      <w:tblPr>
        <w:tblStyle w:val="9"/>
        <w:tblW w:w="14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117"/>
        <w:gridCol w:w="1000"/>
        <w:gridCol w:w="817"/>
        <w:gridCol w:w="966"/>
        <w:gridCol w:w="1117"/>
        <w:gridCol w:w="883"/>
        <w:gridCol w:w="1567"/>
        <w:gridCol w:w="1300"/>
        <w:gridCol w:w="964"/>
        <w:gridCol w:w="738"/>
        <w:gridCol w:w="748"/>
        <w:gridCol w:w="2584"/>
      </w:tblGrid>
      <w:tr w14:paraId="239A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EB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用地</w:t>
            </w:r>
          </w:p>
          <w:p w14:paraId="782CB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性质</w:t>
            </w:r>
          </w:p>
        </w:tc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48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规划用地面积（hm²）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2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容积率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A0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密度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（%）</w:t>
            </w:r>
          </w:p>
        </w:tc>
        <w:tc>
          <w:tcPr>
            <w:tcW w:w="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54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绿地率（%）</w:t>
            </w:r>
          </w:p>
        </w:tc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8A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车位（个）</w:t>
            </w:r>
          </w:p>
          <w:p w14:paraId="09834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含地下</w:t>
            </w:r>
          </w:p>
        </w:tc>
        <w:tc>
          <w:tcPr>
            <w:tcW w:w="8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4B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</w:p>
          <w:p w14:paraId="3A002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限高</w:t>
            </w:r>
          </w:p>
          <w:p w14:paraId="21BBC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C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建筑退</w:t>
            </w:r>
          </w:p>
          <w:p w14:paraId="7DFF1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界距离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6D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配套</w:t>
            </w:r>
          </w:p>
          <w:p w14:paraId="36EEE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设施</w:t>
            </w:r>
          </w:p>
        </w:tc>
        <w:tc>
          <w:tcPr>
            <w:tcW w:w="9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F3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海绵城市径流总量控制率（%）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67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土地使用</w:t>
            </w:r>
          </w:p>
          <w:p w14:paraId="7EEB4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兼容性</w:t>
            </w:r>
          </w:p>
        </w:tc>
        <w:tc>
          <w:tcPr>
            <w:tcW w:w="25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3E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城市设计引导</w:t>
            </w:r>
          </w:p>
        </w:tc>
      </w:tr>
      <w:tr w14:paraId="6D75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2A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2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62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B9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CB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A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8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82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C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9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2C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一类</w:t>
            </w:r>
          </w:p>
        </w:tc>
        <w:tc>
          <w:tcPr>
            <w:tcW w:w="7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36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二类</w:t>
            </w:r>
          </w:p>
        </w:tc>
        <w:tc>
          <w:tcPr>
            <w:tcW w:w="25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65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F57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9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9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中小学用地01-01</w:t>
            </w:r>
          </w:p>
        </w:tc>
        <w:tc>
          <w:tcPr>
            <w:tcW w:w="11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1D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0.80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12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≤1.0</w:t>
            </w:r>
          </w:p>
        </w:tc>
        <w:tc>
          <w:tcPr>
            <w:tcW w:w="8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58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≤30</w:t>
            </w:r>
          </w:p>
        </w:tc>
        <w:tc>
          <w:tcPr>
            <w:tcW w:w="9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B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11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2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9A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≤30</w:t>
            </w:r>
          </w:p>
        </w:tc>
        <w:tc>
          <w:tcPr>
            <w:tcW w:w="1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54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退让光复路、长青街：10；退让南侧地块：5</w:t>
            </w:r>
          </w:p>
        </w:tc>
        <w:tc>
          <w:tcPr>
            <w:tcW w:w="13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24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96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25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—</w:t>
            </w: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A57D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—</w:t>
            </w:r>
          </w:p>
        </w:tc>
        <w:tc>
          <w:tcPr>
            <w:tcW w:w="7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EFB8D">
            <w:pPr>
              <w:snapToGrid w:val="0"/>
              <w:spacing w:line="16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—</w:t>
            </w:r>
          </w:p>
        </w:tc>
        <w:tc>
          <w:tcPr>
            <w:tcW w:w="258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CDA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1．建筑风格：体现地域性、文化性和时代性，校区建筑应统一和谐；外立面造型立体层次感强，建筑屋顶以平屋顶为主。</w:t>
            </w:r>
          </w:p>
          <w:p w14:paraId="5102D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2．建筑色彩：主体宜与东侧一中校区主色调协调，选择中等明度、中等彩度色系为基本色。</w:t>
            </w:r>
          </w:p>
          <w:p w14:paraId="1CA70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3．建筑材质：外墙宜采用干挂高标准石材或仿石材、真石漆等高档材料，禁止使用普通涂料，屋顶禁用彩钢瓦。</w:t>
            </w:r>
          </w:p>
          <w:p w14:paraId="4ED4A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夜景亮化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符合医养特色。</w:t>
            </w:r>
          </w:p>
        </w:tc>
      </w:tr>
    </w:tbl>
    <w:p w14:paraId="064798D7">
      <w:pPr>
        <w:numPr>
          <w:ilvl w:val="0"/>
          <w:numId w:val="0"/>
        </w:numPr>
        <w:spacing w:line="580" w:lineRule="exact"/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二、达贤路北力佳食品有限公司地块控制性详细规划</w:t>
      </w:r>
    </w:p>
    <w:tbl>
      <w:tblPr>
        <w:tblStyle w:val="9"/>
        <w:tblW w:w="14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83"/>
        <w:gridCol w:w="983"/>
        <w:gridCol w:w="834"/>
        <w:gridCol w:w="1000"/>
        <w:gridCol w:w="1083"/>
        <w:gridCol w:w="867"/>
        <w:gridCol w:w="1600"/>
        <w:gridCol w:w="1269"/>
        <w:gridCol w:w="967"/>
        <w:gridCol w:w="762"/>
        <w:gridCol w:w="702"/>
        <w:gridCol w:w="2670"/>
      </w:tblGrid>
      <w:tr w14:paraId="6A9C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48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用地</w:t>
            </w:r>
          </w:p>
          <w:p w14:paraId="68709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性质</w:t>
            </w: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E2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规划用地面积（hm²）</w:t>
            </w:r>
          </w:p>
        </w:tc>
        <w:tc>
          <w:tcPr>
            <w:tcW w:w="9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B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容积率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1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系数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（%）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8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绿地率（%）</w:t>
            </w: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E9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车位（个）</w:t>
            </w:r>
          </w:p>
          <w:p w14:paraId="7B8F9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含地下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82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</w:p>
          <w:p w14:paraId="61AFC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限高</w:t>
            </w:r>
          </w:p>
          <w:p w14:paraId="6B401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C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建筑退</w:t>
            </w:r>
          </w:p>
          <w:p w14:paraId="2183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界距离</w:t>
            </w:r>
          </w:p>
        </w:tc>
        <w:tc>
          <w:tcPr>
            <w:tcW w:w="12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1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配套</w:t>
            </w:r>
          </w:p>
          <w:p w14:paraId="4E91E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设施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FC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海绵城市径流总量控制率（%）</w:t>
            </w:r>
          </w:p>
        </w:tc>
        <w:tc>
          <w:tcPr>
            <w:tcW w:w="14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57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土地使用</w:t>
            </w:r>
          </w:p>
          <w:p w14:paraId="324EA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兼容性</w:t>
            </w:r>
          </w:p>
        </w:tc>
        <w:tc>
          <w:tcPr>
            <w:tcW w:w="26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7F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城市设计引导</w:t>
            </w:r>
          </w:p>
        </w:tc>
      </w:tr>
      <w:tr w14:paraId="0325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9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F9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E5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5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A5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3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CF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BC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9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EA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B1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一类</w:t>
            </w:r>
          </w:p>
        </w:tc>
        <w:tc>
          <w:tcPr>
            <w:tcW w:w="7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AE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二类</w:t>
            </w:r>
          </w:p>
        </w:tc>
        <w:tc>
          <w:tcPr>
            <w:tcW w:w="26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25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476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0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8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二类</w:t>
            </w:r>
          </w:p>
          <w:p w14:paraId="4A4E8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工业</w:t>
            </w:r>
          </w:p>
          <w:p w14:paraId="226F4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用地01-01</w:t>
            </w:r>
          </w:p>
        </w:tc>
        <w:tc>
          <w:tcPr>
            <w:tcW w:w="10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9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0.91</w:t>
            </w:r>
          </w:p>
        </w:tc>
        <w:tc>
          <w:tcPr>
            <w:tcW w:w="9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3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≥1.0</w:t>
            </w:r>
          </w:p>
        </w:tc>
        <w:tc>
          <w:tcPr>
            <w:tcW w:w="8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C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≥40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0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≤20</w:t>
            </w:r>
          </w:p>
        </w:tc>
        <w:tc>
          <w:tcPr>
            <w:tcW w:w="10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ED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33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≤24</w:t>
            </w:r>
          </w:p>
        </w:tc>
        <w:tc>
          <w:tcPr>
            <w:tcW w:w="16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6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退让达贤路及周边地块：5</w:t>
            </w:r>
          </w:p>
        </w:tc>
        <w:tc>
          <w:tcPr>
            <w:tcW w:w="126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0D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—</w:t>
            </w:r>
          </w:p>
        </w:tc>
        <w:tc>
          <w:tcPr>
            <w:tcW w:w="9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4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7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40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7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E4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26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1C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1.建筑风格：展现简约、大气的工业建筑风格，体现时代感、科技感，重视现代工业建筑设计风格的流畅性和简洁性，突出企业文化。</w:t>
            </w:r>
          </w:p>
          <w:p w14:paraId="4703C5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2.建筑色彩：整体色彩协调，注意颜色搭配，在统一中求变化，以灰白色为主色调，辅以黄色、暗红或银色的装饰线条，增加厂房门窗的立体感。</w:t>
            </w:r>
          </w:p>
          <w:p w14:paraId="36A4B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3.建筑材质：禁止采用普通彩钢夹芯板，宜采用高品质聚氨酯封边岩棉夹芯板等装饰材料；屋面禁止使用彩钢瓦，鼓励使用光伏发电玻璃、屋顶太阳能板等节能环保材料。</w:t>
            </w:r>
          </w:p>
          <w:p w14:paraId="470C86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4.夜景亮化：注重夜景亮化设计，提高夜间景观效果，在保证功能照明前提下，可采用灯带、射灯等照明方式凸显建筑形象。</w:t>
            </w:r>
          </w:p>
        </w:tc>
      </w:tr>
    </w:tbl>
    <w:p w14:paraId="0E3408EA">
      <w:pPr>
        <w:numPr>
          <w:ilvl w:val="0"/>
          <w:numId w:val="0"/>
        </w:numPr>
        <w:spacing w:line="580" w:lineRule="exact"/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三、安庆街东双合路两侧地块控制性详细规划</w:t>
      </w:r>
    </w:p>
    <w:tbl>
      <w:tblPr>
        <w:tblStyle w:val="9"/>
        <w:tblW w:w="148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052"/>
        <w:gridCol w:w="985"/>
        <w:gridCol w:w="836"/>
        <w:gridCol w:w="1002"/>
        <w:gridCol w:w="1085"/>
        <w:gridCol w:w="852"/>
        <w:gridCol w:w="1604"/>
        <w:gridCol w:w="1254"/>
        <w:gridCol w:w="1001"/>
        <w:gridCol w:w="766"/>
        <w:gridCol w:w="720"/>
        <w:gridCol w:w="2661"/>
      </w:tblGrid>
      <w:tr w14:paraId="5CF3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D5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用地</w:t>
            </w:r>
          </w:p>
          <w:p w14:paraId="10817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性质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1B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规划用地面积（hm²）</w:t>
            </w:r>
          </w:p>
        </w:tc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B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容积率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06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系数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（%）</w:t>
            </w:r>
          </w:p>
        </w:tc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18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绿地率（%）</w:t>
            </w:r>
          </w:p>
        </w:tc>
        <w:tc>
          <w:tcPr>
            <w:tcW w:w="10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34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车位（个）</w:t>
            </w:r>
          </w:p>
          <w:p w14:paraId="08080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含地下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56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</w:p>
          <w:p w14:paraId="453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限高</w:t>
            </w:r>
          </w:p>
          <w:p w14:paraId="2D6F5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6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3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建筑退</w:t>
            </w:r>
          </w:p>
          <w:p w14:paraId="0043F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界距离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25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配套</w:t>
            </w:r>
          </w:p>
          <w:p w14:paraId="55AFB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设施</w:t>
            </w:r>
          </w:p>
        </w:tc>
        <w:tc>
          <w:tcPr>
            <w:tcW w:w="10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9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海绵城市径流总量控制率（%）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78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土地使用</w:t>
            </w:r>
          </w:p>
          <w:p w14:paraId="289E3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兼容性</w:t>
            </w:r>
          </w:p>
        </w:tc>
        <w:tc>
          <w:tcPr>
            <w:tcW w:w="26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8B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城市设计引导</w:t>
            </w:r>
          </w:p>
        </w:tc>
      </w:tr>
      <w:tr w14:paraId="3F55F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2B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62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7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AB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0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B4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7E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10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D5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A7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4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一类</w:t>
            </w: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二类</w:t>
            </w:r>
          </w:p>
        </w:tc>
        <w:tc>
          <w:tcPr>
            <w:tcW w:w="26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35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E96F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0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89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二类物流仓储用地01-01</w:t>
            </w:r>
          </w:p>
        </w:tc>
        <w:tc>
          <w:tcPr>
            <w:tcW w:w="10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D4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7.54</w:t>
            </w:r>
          </w:p>
        </w:tc>
        <w:tc>
          <w:tcPr>
            <w:tcW w:w="9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1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≥0.6</w:t>
            </w:r>
          </w:p>
        </w:tc>
        <w:tc>
          <w:tcPr>
            <w:tcW w:w="8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56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≥40</w:t>
            </w:r>
          </w:p>
        </w:tc>
        <w:tc>
          <w:tcPr>
            <w:tcW w:w="10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FD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≤20</w:t>
            </w:r>
          </w:p>
        </w:tc>
        <w:tc>
          <w:tcPr>
            <w:tcW w:w="10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CC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4E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≤30</w:t>
            </w:r>
          </w:p>
        </w:tc>
        <w:tc>
          <w:tcPr>
            <w:tcW w:w="16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D2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退让周边地块：5</w:t>
            </w:r>
          </w:p>
        </w:tc>
        <w:tc>
          <w:tcPr>
            <w:tcW w:w="12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F6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100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2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一类物流仓储用地</w:t>
            </w: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9E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二类工业用地</w:t>
            </w:r>
          </w:p>
        </w:tc>
        <w:tc>
          <w:tcPr>
            <w:tcW w:w="266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03E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1.建筑风格：展现简约、大气的仓储建筑风格，体现时代感、科技感，重视设计风格的流畅性和简洁性。</w:t>
            </w:r>
          </w:p>
          <w:p w14:paraId="1190CC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2.建筑色彩：整体色彩协调，以灰白色为主色调，辅以黄色、暗红或银色装饰线条，增加厂房门窗立体感。</w:t>
            </w:r>
          </w:p>
          <w:p w14:paraId="7E9B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3.建筑材质：禁止采用普通彩钢夹芯板，宜采用高品质聚氨酯封边岩棉夹芯板等装饰材料；屋面禁止使用彩钢瓦，鼓励使用光伏发电玻璃、屋顶太阳能板等节能环保材料。</w:t>
            </w:r>
          </w:p>
          <w:p w14:paraId="6A414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4.夜景亮化：注重夜景亮化设计，提高夜间景观效果，在保证功能照明前提下，可采用灯带、射灯等照明方式凸显建筑形象。</w:t>
            </w:r>
          </w:p>
        </w:tc>
      </w:tr>
      <w:tr w14:paraId="581B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0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3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防护</w:t>
            </w:r>
          </w:p>
          <w:p w14:paraId="2D89D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绿地</w:t>
            </w:r>
          </w:p>
          <w:p w14:paraId="54FD5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01-02</w:t>
            </w:r>
          </w:p>
        </w:tc>
        <w:tc>
          <w:tcPr>
            <w:tcW w:w="10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74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1.07</w:t>
            </w:r>
          </w:p>
        </w:tc>
        <w:tc>
          <w:tcPr>
            <w:tcW w:w="9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A9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6A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E1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≥90</w:t>
            </w:r>
          </w:p>
        </w:tc>
        <w:tc>
          <w:tcPr>
            <w:tcW w:w="10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DC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2C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70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2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17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10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82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A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B3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6BF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E6E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0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0B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二类物流仓储用地01-03</w:t>
            </w:r>
          </w:p>
        </w:tc>
        <w:tc>
          <w:tcPr>
            <w:tcW w:w="10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37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15.60</w:t>
            </w:r>
          </w:p>
        </w:tc>
        <w:tc>
          <w:tcPr>
            <w:tcW w:w="9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91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≥0.6</w:t>
            </w:r>
          </w:p>
        </w:tc>
        <w:tc>
          <w:tcPr>
            <w:tcW w:w="8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15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≥40</w:t>
            </w:r>
          </w:p>
        </w:tc>
        <w:tc>
          <w:tcPr>
            <w:tcW w:w="10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6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≤20</w:t>
            </w:r>
          </w:p>
        </w:tc>
        <w:tc>
          <w:tcPr>
            <w:tcW w:w="10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49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B6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≤30</w:t>
            </w:r>
          </w:p>
        </w:tc>
        <w:tc>
          <w:tcPr>
            <w:tcW w:w="16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E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退让安庆街：15；</w:t>
            </w:r>
          </w:p>
          <w:p w14:paraId="35CF5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退让周边地块：5</w:t>
            </w:r>
          </w:p>
        </w:tc>
        <w:tc>
          <w:tcPr>
            <w:tcW w:w="12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0B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10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1B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81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一类物流仓储用地</w:t>
            </w: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47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二类工业用地</w:t>
            </w: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6C5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1B1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10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78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防护</w:t>
            </w:r>
          </w:p>
          <w:p w14:paraId="282B5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绿地</w:t>
            </w:r>
          </w:p>
          <w:p w14:paraId="5FBF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01-04</w:t>
            </w:r>
          </w:p>
        </w:tc>
        <w:tc>
          <w:tcPr>
            <w:tcW w:w="10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9B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1.72</w:t>
            </w:r>
          </w:p>
        </w:tc>
        <w:tc>
          <w:tcPr>
            <w:tcW w:w="9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8C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AF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2F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≥90</w:t>
            </w:r>
          </w:p>
        </w:tc>
        <w:tc>
          <w:tcPr>
            <w:tcW w:w="10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96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8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2C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0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2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2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4D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10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10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42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C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56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7808240F">
      <w:pPr>
        <w:numPr>
          <w:ilvl w:val="0"/>
          <w:numId w:val="0"/>
        </w:numPr>
        <w:spacing w:line="580" w:lineRule="exact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</w:p>
    <w:p w14:paraId="530EAFD8">
      <w:pPr>
        <w:numPr>
          <w:ilvl w:val="0"/>
          <w:numId w:val="0"/>
        </w:numPr>
        <w:spacing w:line="580" w:lineRule="exact"/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四、中华路北新二中东地块控制性详细规划</w:t>
      </w:r>
    </w:p>
    <w:tbl>
      <w:tblPr>
        <w:tblStyle w:val="9"/>
        <w:tblW w:w="14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050"/>
        <w:gridCol w:w="983"/>
        <w:gridCol w:w="834"/>
        <w:gridCol w:w="1000"/>
        <w:gridCol w:w="1083"/>
        <w:gridCol w:w="850"/>
        <w:gridCol w:w="1600"/>
        <w:gridCol w:w="1258"/>
        <w:gridCol w:w="1018"/>
        <w:gridCol w:w="750"/>
        <w:gridCol w:w="707"/>
        <w:gridCol w:w="2654"/>
      </w:tblGrid>
      <w:tr w14:paraId="47EA8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76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用地</w:t>
            </w:r>
          </w:p>
          <w:p w14:paraId="3D351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性质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9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规划用地面积（hm²）</w:t>
            </w:r>
          </w:p>
        </w:tc>
        <w:tc>
          <w:tcPr>
            <w:tcW w:w="9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8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容积率</w:t>
            </w:r>
          </w:p>
        </w:tc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E7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密度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（%）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2C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绿地率（%）</w:t>
            </w: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FD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车位（个）</w:t>
            </w:r>
          </w:p>
          <w:p w14:paraId="6AFB1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含地下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C8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</w:t>
            </w:r>
          </w:p>
          <w:p w14:paraId="52CFB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限高</w:t>
            </w:r>
          </w:p>
          <w:p w14:paraId="49E3A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C9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建筑退</w:t>
            </w:r>
          </w:p>
          <w:p w14:paraId="0DD9C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界距离</w:t>
            </w:r>
          </w:p>
        </w:tc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F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配套设施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EE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海绵城市径流总量控制率（%）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0C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土地使用</w:t>
            </w:r>
          </w:p>
          <w:p w14:paraId="4EFCA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兼容性</w:t>
            </w:r>
          </w:p>
        </w:tc>
        <w:tc>
          <w:tcPr>
            <w:tcW w:w="26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D7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城市设计引导</w:t>
            </w:r>
          </w:p>
        </w:tc>
      </w:tr>
      <w:tr w14:paraId="3EE0E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7B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7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55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31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5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F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62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F3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E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EB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75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一类</w:t>
            </w:r>
          </w:p>
        </w:tc>
        <w:tc>
          <w:tcPr>
            <w:tcW w:w="7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77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二类</w:t>
            </w:r>
          </w:p>
        </w:tc>
        <w:tc>
          <w:tcPr>
            <w:tcW w:w="26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5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6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519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07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23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二类城镇住宅/商业混合用地</w:t>
            </w:r>
          </w:p>
          <w:p w14:paraId="20C2C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01-01</w:t>
            </w:r>
          </w:p>
        </w:tc>
        <w:tc>
          <w:tcPr>
            <w:tcW w:w="10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D2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3.63</w:t>
            </w:r>
          </w:p>
        </w:tc>
        <w:tc>
          <w:tcPr>
            <w:tcW w:w="9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51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≤2.0</w:t>
            </w:r>
          </w:p>
        </w:tc>
        <w:tc>
          <w:tcPr>
            <w:tcW w:w="8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11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≤30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9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≥25</w:t>
            </w:r>
          </w:p>
        </w:tc>
        <w:tc>
          <w:tcPr>
            <w:tcW w:w="108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A9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住宅1/户；</w:t>
            </w:r>
          </w:p>
          <w:p w14:paraId="165D8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商业0.5 /100㎡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7D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≤55</w:t>
            </w:r>
          </w:p>
        </w:tc>
        <w:tc>
          <w:tcPr>
            <w:tcW w:w="16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95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中华路：多层15、高层20；</w:t>
            </w:r>
          </w:p>
          <w:p w14:paraId="6C439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知行东路：10；</w:t>
            </w:r>
          </w:p>
          <w:p w14:paraId="38658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北侧地块：9；</w:t>
            </w:r>
          </w:p>
          <w:p w14:paraId="7DA6B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东侧地块：15；</w:t>
            </w:r>
          </w:p>
        </w:tc>
        <w:tc>
          <w:tcPr>
            <w:tcW w:w="12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A5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社区用房、物业管理用房、居民健身场地、老年人日间照料中心、垃圾收集点、居民存车处、公共厕所、智能信包箱</w:t>
            </w:r>
          </w:p>
        </w:tc>
        <w:tc>
          <w:tcPr>
            <w:tcW w:w="10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3F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—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84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7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14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265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64F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1.建筑风格：体现地域性、文化性和时代性，采用现代主义建筑风格，外立面造型简洁流畅，立体层次感较强，以平屋顶为主。</w:t>
            </w:r>
          </w:p>
          <w:p w14:paraId="5ED54F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2.建筑色彩：主色调宜采用中高明度、中高彩度的复合暖色调，与用地北侧现状建筑协调，避免大面积使用彩度过高，明度过低的色彩。</w:t>
            </w:r>
          </w:p>
          <w:p w14:paraId="545CEF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28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建筑材质：临街商业建筑外墙应采用干挂高标准石材或仿石材等新型高档材料，居住建筑外墙采用高标准石材、环保复合材料、金属、真石漆等新型高档节能装饰材料，禁止使用普通涂料，屋面禁止使用彩钢瓦；商铺门前建议采用火烧板、火山岩等坚固材质，铺装材质厚度不低于5厘米。</w:t>
            </w:r>
          </w:p>
        </w:tc>
      </w:tr>
    </w:tbl>
    <w:p w14:paraId="422C5C68">
      <w:pPr>
        <w:keepNext w:val="0"/>
        <w:keepLines w:val="0"/>
        <w:pageBreakBefore w:val="0"/>
        <w:widowControl w:val="0"/>
        <w:tabs>
          <w:tab w:val="left" w:pos="27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eastAsia"/>
          <w:lang w:val="en-US" w:eastAsia="zh-CN"/>
        </w:rPr>
      </w:pPr>
    </w:p>
    <w:p w14:paraId="1EFC936F"/>
    <w:sectPr>
      <w:headerReference r:id="rId3" w:type="default"/>
      <w:footerReference r:id="rId4" w:type="default"/>
      <w:pgSz w:w="16838" w:h="11906" w:orient="landscape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E5658ED-0CF3-4092-B2DE-C3B720FA92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B49F975-8B94-4B74-BD24-ABD8F16F5D3F}"/>
  </w:font>
  <w:font w:name="CESI楷体-GB13000">
    <w:altName w:val="CESI楷体-GB13000"/>
    <w:panose1 w:val="02000500000000000000"/>
    <w:charset w:val="00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A81F778-67DD-4579-A14B-47080EDB3D7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5167037-9A5C-456D-A540-A8E0D84C3547}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31A1D264-4936-46C9-B3F1-0CC802D07EF8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9833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60C0F46">
                          <w:pPr>
                            <w:pStyle w:val="7"/>
                          </w:pP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44"/>
                            </w:rPr>
                            <w:t>- 3 -</w:t>
                          </w:r>
                          <w:r>
                            <w:rPr>
                              <w:rFonts w:hint="eastAsia" w:ascii="方正书宋_GBK" w:hAnsi="方正书宋_GBK" w:eastAsia="方正书宋_GBK" w:cs="方正书宋_GBK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0C0F46">
                    <w:pPr>
                      <w:pStyle w:val="7"/>
                    </w:pP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44"/>
                      </w:rPr>
                      <w:t>- 3 -</w:t>
                    </w:r>
                    <w:r>
                      <w:rPr>
                        <w:rFonts w:hint="eastAsia" w:ascii="方正书宋_GBK" w:hAnsi="方正书宋_GBK" w:eastAsia="方正书宋_GBK" w:cs="方正书宋_GBK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DBC5E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E27A8"/>
    <w:rsid w:val="0C0F1085"/>
    <w:rsid w:val="0FBFCCCD"/>
    <w:rsid w:val="138D65FD"/>
    <w:rsid w:val="1FF8EA71"/>
    <w:rsid w:val="5F9EA9B8"/>
    <w:rsid w:val="677E27A8"/>
    <w:rsid w:val="6BF7E8B0"/>
    <w:rsid w:val="6DC55D21"/>
    <w:rsid w:val="77BF135E"/>
    <w:rsid w:val="79F55154"/>
    <w:rsid w:val="7BEB5D66"/>
    <w:rsid w:val="7F11CDC9"/>
    <w:rsid w:val="92FDAF82"/>
    <w:rsid w:val="A3F700F8"/>
    <w:rsid w:val="B77BA0E8"/>
    <w:rsid w:val="C2F7E712"/>
    <w:rsid w:val="C3FFAA08"/>
    <w:rsid w:val="C5DD0D71"/>
    <w:rsid w:val="D7673C6A"/>
    <w:rsid w:val="FCDBE85A"/>
    <w:rsid w:val="FDFAA4CF"/>
    <w:rsid w:val="FF9939F5"/>
    <w:rsid w:val="FFFFC7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方正楷体_GBK"/>
      <w:kern w:val="2"/>
      <w:sz w:val="18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2"/>
    <w:basedOn w:val="1"/>
    <w:unhideWhenUsed/>
    <w:qFormat/>
    <w:uiPriority w:val="99"/>
    <w:pPr>
      <w:spacing w:after="120" w:line="480" w:lineRule="auto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2159</Words>
  <Characters>2286</Characters>
  <Lines>0</Lines>
  <Paragraphs>0</Paragraphs>
  <TotalTime>181</TotalTime>
  <ScaleCrop>false</ScaleCrop>
  <LinksUpToDate>false</LinksUpToDate>
  <CharactersWithSpaces>2398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2026-09-02T10:59:00Z</dcterms:created>
  <dc:creator>greatwall</dc:creator>
  <cp:lastModifiedBy>xpeke.</cp:lastModifiedBy>
  <cp:lastPrinted>2026-09-02T09:16:00Z</cp:lastPrinted>
  <dcterms:modified xsi:type="dcterms:W3CDTF">2026-09-15T05:48:39Z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852C721774A7A8A6BCAEA86ACB20FBE9</vt:lpwstr>
  </property>
  <property fmtid="{D5CDD505-2E9C-101B-9397-08002B2CF9AE}" pid="4" name="KSOTemplateDocerSaveRecord">
    <vt:lpwstr>eyJoZGlkIjoiNzg1NmQwMmM0MTAyMmNjYzhhZGFhMThlMDQ0ZGU4YWYiLCJ1c2VySWQiOiI3NDkxNDQzMDEifQ==</vt:lpwstr>
  </property>
</Properties>
</file>