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E8F6F1">
      <w:pPr>
        <w:keepNext w:val="0"/>
        <w:keepLines w:val="0"/>
        <w:pageBreakBefore w:val="0"/>
        <w:widowControl w:val="0"/>
        <w:shd w:val="clear" w:color="auto" w:fill="FFFFFF"/>
        <w:kinsoku/>
        <w:wordWrap/>
        <w:overflowPunct/>
        <w:topLinePunct w:val="0"/>
        <w:autoSpaceDE/>
        <w:autoSpaceDN/>
        <w:bidi w:val="0"/>
        <w:adjustRightInd/>
        <w:snapToGrid/>
        <w:spacing w:line="560" w:lineRule="exact"/>
        <w:jc w:val="left"/>
        <w:textAlignment w:val="auto"/>
        <w:rPr>
          <w:rFonts w:hint="eastAsia" w:ascii="方正小标宋简体" w:hAnsi="方正小标宋简体" w:eastAsia="方正小标宋简体" w:cs="方正小标宋简体"/>
          <w:sz w:val="32"/>
          <w:szCs w:val="32"/>
          <w:highlight w:val="none"/>
        </w:rPr>
      </w:pPr>
      <w:r>
        <w:rPr>
          <w:rFonts w:hint="eastAsia" w:ascii="黑体" w:hAnsi="黑体" w:eastAsia="黑体" w:cs="黑体"/>
          <w:b w:val="0"/>
          <w:bCs w:val="0"/>
          <w:kern w:val="0"/>
          <w:sz w:val="32"/>
          <w:szCs w:val="32"/>
          <w:highlight w:val="none"/>
        </w:rPr>
        <w:t>附件1</w:t>
      </w:r>
    </w:p>
    <w:p w14:paraId="2BA94BC4">
      <w:pPr>
        <w:keepNext w:val="0"/>
        <w:keepLines w:val="0"/>
        <w:pageBreakBefore w:val="0"/>
        <w:widowControl w:val="0"/>
        <w:shd w:val="clear" w:color="auto" w:fill="FFFFFF"/>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bCs w:val="0"/>
          <w:kern w:val="0"/>
          <w:sz w:val="44"/>
          <w:szCs w:val="44"/>
          <w:highlight w:val="none"/>
        </w:rPr>
      </w:pPr>
      <w:r>
        <w:rPr>
          <w:rFonts w:hint="eastAsia" w:ascii="方正小标宋简体" w:hAnsi="方正小标宋简体" w:eastAsia="方正小标宋简体" w:cs="方正小标宋简体"/>
          <w:color w:val="auto"/>
          <w:sz w:val="44"/>
          <w:szCs w:val="44"/>
          <w:highlight w:val="none"/>
          <w:u w:val="none"/>
        </w:rPr>
        <w:t>黑龙江省教育厅支持政策清单</w:t>
      </w:r>
    </w:p>
    <w:tbl>
      <w:tblPr>
        <w:tblStyle w:val="11"/>
        <w:tblpPr w:leftFromText="180" w:rightFromText="180" w:vertAnchor="text" w:horzAnchor="page" w:tblpXSpec="center" w:tblpY="355"/>
        <w:tblOverlap w:val="never"/>
        <w:tblW w:w="141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3"/>
        <w:gridCol w:w="13376"/>
      </w:tblGrid>
      <w:tr w14:paraId="3672A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823" w:type="dxa"/>
            <w:vAlign w:val="center"/>
          </w:tcPr>
          <w:p w14:paraId="7C775B2C">
            <w:pPr>
              <w:jc w:val="center"/>
              <w:rPr>
                <w:rFonts w:hint="eastAsia" w:ascii="仿宋_GB2312" w:hAnsi="仿宋_GB2312" w:eastAsia="仿宋_GB2312" w:cs="仿宋_GB2312"/>
                <w:b w:val="0"/>
                <w:bCs w:val="0"/>
                <w:color w:val="000000"/>
                <w:sz w:val="24"/>
                <w:szCs w:val="24"/>
                <w:highlight w:val="none"/>
              </w:rPr>
            </w:pPr>
            <w:r>
              <w:rPr>
                <w:rFonts w:hint="eastAsia" w:ascii="仿宋_GB2312" w:hAnsi="仿宋_GB2312" w:eastAsia="仿宋_GB2312" w:cs="仿宋_GB2312"/>
                <w:b w:val="0"/>
                <w:bCs w:val="0"/>
                <w:color w:val="000000"/>
                <w:sz w:val="24"/>
                <w:szCs w:val="24"/>
                <w:highlight w:val="none"/>
              </w:rPr>
              <w:t>序号</w:t>
            </w:r>
          </w:p>
        </w:tc>
        <w:tc>
          <w:tcPr>
            <w:tcW w:w="13376" w:type="dxa"/>
            <w:vAlign w:val="center"/>
          </w:tcPr>
          <w:p w14:paraId="7C4F8AE7">
            <w:pPr>
              <w:jc w:val="center"/>
              <w:rPr>
                <w:rFonts w:hint="eastAsia" w:ascii="仿宋_GB2312" w:hAnsi="仿宋_GB2312" w:eastAsia="仿宋_GB2312" w:cs="仿宋_GB2312"/>
                <w:b w:val="0"/>
                <w:bCs w:val="0"/>
                <w:color w:val="000000"/>
                <w:sz w:val="24"/>
                <w:szCs w:val="24"/>
                <w:highlight w:val="none"/>
              </w:rPr>
            </w:pPr>
            <w:r>
              <w:rPr>
                <w:rFonts w:hint="eastAsia" w:ascii="仿宋_GB2312" w:hAnsi="仿宋_GB2312" w:eastAsia="仿宋_GB2312" w:cs="仿宋_GB2312"/>
                <w:b w:val="0"/>
                <w:bCs w:val="0"/>
                <w:color w:val="000000"/>
                <w:sz w:val="24"/>
                <w:szCs w:val="24"/>
                <w:highlight w:val="none"/>
              </w:rPr>
              <w:t>政 策 内 容</w:t>
            </w:r>
          </w:p>
        </w:tc>
      </w:tr>
      <w:tr w14:paraId="25BC6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823" w:type="dxa"/>
            <w:vAlign w:val="center"/>
          </w:tcPr>
          <w:p w14:paraId="4F37DA64">
            <w:pPr>
              <w:widowControl w:val="0"/>
              <w:wordWrap/>
              <w:adjustRightInd/>
              <w:snapToGrid/>
              <w:spacing w:line="440" w:lineRule="exact"/>
              <w:ind w:left="0" w:leftChars="0" w:right="0" w:firstLine="0" w:firstLineChars="0"/>
              <w:jc w:val="center"/>
              <w:textAlignment w:val="auto"/>
              <w:outlineLvl w:val="9"/>
              <w:rPr>
                <w:rFonts w:hint="eastAsia" w:ascii="仿宋_GB2312" w:hAnsi="仿宋_GB2312" w:eastAsia="仿宋_GB2312" w:cs="仿宋_GB2312"/>
                <w:b w:val="0"/>
                <w:bCs w:val="0"/>
                <w:color w:val="000000"/>
                <w:sz w:val="24"/>
                <w:szCs w:val="24"/>
                <w:highlight w:val="none"/>
                <w:lang w:val="en-US" w:eastAsia="zh-CN"/>
              </w:rPr>
            </w:pPr>
            <w:r>
              <w:rPr>
                <w:rFonts w:hint="eastAsia" w:ascii="仿宋_GB2312" w:hAnsi="仿宋_GB2312" w:eastAsia="仿宋_GB2312" w:cs="仿宋_GB2312"/>
                <w:b w:val="0"/>
                <w:bCs w:val="0"/>
                <w:color w:val="000000"/>
                <w:sz w:val="24"/>
                <w:szCs w:val="24"/>
                <w:highlight w:val="none"/>
                <w:lang w:val="en-US" w:eastAsia="zh-CN"/>
              </w:rPr>
              <w:t>1</w:t>
            </w:r>
          </w:p>
        </w:tc>
        <w:tc>
          <w:tcPr>
            <w:tcW w:w="13376" w:type="dxa"/>
            <w:vAlign w:val="center"/>
          </w:tcPr>
          <w:p w14:paraId="64E74090">
            <w:pPr>
              <w:widowControl w:val="0"/>
              <w:wordWrap/>
              <w:adjustRightInd/>
              <w:snapToGrid/>
              <w:spacing w:line="440" w:lineRule="exact"/>
              <w:ind w:left="0" w:leftChars="0" w:right="0" w:firstLine="0" w:firstLineChars="0"/>
              <w:jc w:val="both"/>
              <w:textAlignment w:val="auto"/>
              <w:outlineLvl w:val="9"/>
              <w:rPr>
                <w:rFonts w:hint="eastAsia" w:ascii="仿宋_GB2312" w:hAnsi="仿宋_GB2312" w:eastAsia="仿宋_GB2312" w:cs="仿宋_GB2312"/>
                <w:b w:val="0"/>
                <w:bCs w:val="0"/>
                <w:color w:val="000000"/>
                <w:sz w:val="24"/>
                <w:szCs w:val="24"/>
                <w:highlight w:val="none"/>
                <w:lang w:val="en-US" w:eastAsia="zh-CN"/>
              </w:rPr>
            </w:pPr>
            <w:r>
              <w:rPr>
                <w:rFonts w:hint="eastAsia" w:ascii="仿宋_GB2312" w:hAnsi="仿宋_GB2312" w:eastAsia="仿宋_GB2312" w:cs="仿宋_GB2312"/>
                <w:b w:val="0"/>
                <w:bCs w:val="0"/>
                <w:color w:val="000000"/>
                <w:sz w:val="24"/>
                <w:szCs w:val="24"/>
                <w:highlight w:val="none"/>
                <w:lang w:val="en-US" w:eastAsia="zh-CN"/>
              </w:rPr>
              <w:t>支持驻佳省属职业院校参与厅市共建，并将合作成效纳入对省属院校的考核评价内容，赋予佳木斯市委教育工委一定权重分值。</w:t>
            </w:r>
          </w:p>
        </w:tc>
      </w:tr>
      <w:tr w14:paraId="1C8C9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823" w:type="dxa"/>
            <w:vAlign w:val="center"/>
          </w:tcPr>
          <w:p w14:paraId="48C25506">
            <w:pPr>
              <w:widowControl w:val="0"/>
              <w:wordWrap/>
              <w:adjustRightInd/>
              <w:snapToGrid/>
              <w:spacing w:line="440" w:lineRule="exact"/>
              <w:ind w:left="0" w:leftChars="0" w:right="0" w:firstLine="0" w:firstLineChars="0"/>
              <w:jc w:val="center"/>
              <w:textAlignment w:val="auto"/>
              <w:outlineLvl w:val="9"/>
              <w:rPr>
                <w:rFonts w:hint="eastAsia" w:ascii="仿宋_GB2312" w:hAnsi="仿宋_GB2312" w:eastAsia="仿宋_GB2312" w:cs="仿宋_GB2312"/>
                <w:b w:val="0"/>
                <w:bCs w:val="0"/>
                <w:color w:val="000000"/>
                <w:sz w:val="24"/>
                <w:szCs w:val="24"/>
                <w:highlight w:val="none"/>
                <w:lang w:val="en-US" w:eastAsia="zh-CN"/>
              </w:rPr>
            </w:pPr>
            <w:r>
              <w:rPr>
                <w:rFonts w:hint="eastAsia" w:ascii="仿宋_GB2312" w:hAnsi="仿宋_GB2312" w:eastAsia="仿宋_GB2312" w:cs="仿宋_GB2312"/>
                <w:b w:val="0"/>
                <w:bCs w:val="0"/>
                <w:color w:val="000000"/>
                <w:sz w:val="24"/>
                <w:szCs w:val="24"/>
                <w:highlight w:val="none"/>
                <w:lang w:val="en-US" w:eastAsia="zh-CN"/>
              </w:rPr>
              <w:t>2</w:t>
            </w:r>
          </w:p>
        </w:tc>
        <w:tc>
          <w:tcPr>
            <w:tcW w:w="13376" w:type="dxa"/>
            <w:vAlign w:val="center"/>
          </w:tcPr>
          <w:p w14:paraId="66396252">
            <w:pPr>
              <w:widowControl w:val="0"/>
              <w:wordWrap/>
              <w:adjustRightInd/>
              <w:snapToGrid/>
              <w:spacing w:line="440" w:lineRule="exact"/>
              <w:ind w:left="0" w:leftChars="0" w:right="0" w:firstLine="0" w:firstLineChars="0"/>
              <w:jc w:val="both"/>
              <w:textAlignment w:val="auto"/>
              <w:outlineLvl w:val="9"/>
              <w:rPr>
                <w:rFonts w:hint="eastAsia" w:ascii="仿宋_GB2312" w:hAnsi="仿宋_GB2312" w:eastAsia="仿宋_GB2312" w:cs="仿宋_GB2312"/>
                <w:b w:val="0"/>
                <w:bCs w:val="0"/>
                <w:color w:val="000000"/>
                <w:sz w:val="24"/>
                <w:szCs w:val="24"/>
                <w:highlight w:val="none"/>
              </w:rPr>
            </w:pPr>
            <w:r>
              <w:rPr>
                <w:rFonts w:hint="eastAsia" w:ascii="仿宋_GB2312" w:hAnsi="仿宋_GB2312" w:eastAsia="仿宋_GB2312" w:cs="仿宋_GB2312"/>
                <w:b w:val="0"/>
                <w:bCs w:val="0"/>
                <w:color w:val="000000"/>
                <w:sz w:val="24"/>
                <w:szCs w:val="24"/>
                <w:highlight w:val="none"/>
                <w:lang w:val="en-US" w:eastAsia="zh-CN"/>
              </w:rPr>
              <w:t>支持佳木斯市在边境城市新建职业院校，打造中俄职教城，引入社会资本参与举办职业教育，探索实行混合所有制试点。</w:t>
            </w:r>
          </w:p>
        </w:tc>
      </w:tr>
      <w:tr w14:paraId="5045B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823" w:type="dxa"/>
            <w:vAlign w:val="center"/>
          </w:tcPr>
          <w:p w14:paraId="2DDC7024">
            <w:pPr>
              <w:widowControl w:val="0"/>
              <w:wordWrap/>
              <w:adjustRightInd/>
              <w:snapToGrid/>
              <w:spacing w:line="440" w:lineRule="exact"/>
              <w:ind w:left="0" w:leftChars="0" w:right="0" w:firstLine="0" w:firstLineChars="0"/>
              <w:jc w:val="center"/>
              <w:textAlignment w:val="auto"/>
              <w:outlineLvl w:val="9"/>
              <w:rPr>
                <w:rFonts w:hint="eastAsia" w:ascii="仿宋_GB2312" w:hAnsi="仿宋_GB2312" w:eastAsia="仿宋_GB2312" w:cs="仿宋_GB2312"/>
                <w:b w:val="0"/>
                <w:bCs w:val="0"/>
                <w:color w:val="000000"/>
                <w:sz w:val="24"/>
                <w:szCs w:val="24"/>
                <w:highlight w:val="none"/>
                <w:lang w:val="en-US" w:eastAsia="zh-CN"/>
              </w:rPr>
            </w:pPr>
            <w:r>
              <w:rPr>
                <w:rFonts w:hint="eastAsia" w:ascii="仿宋_GB2312" w:hAnsi="仿宋_GB2312" w:eastAsia="仿宋_GB2312" w:cs="仿宋_GB2312"/>
                <w:b w:val="0"/>
                <w:bCs w:val="0"/>
                <w:color w:val="000000"/>
                <w:sz w:val="24"/>
                <w:szCs w:val="24"/>
                <w:highlight w:val="none"/>
                <w:lang w:val="en-US" w:eastAsia="zh-CN"/>
              </w:rPr>
              <w:t>3</w:t>
            </w:r>
          </w:p>
        </w:tc>
        <w:tc>
          <w:tcPr>
            <w:tcW w:w="13376" w:type="dxa"/>
            <w:vAlign w:val="center"/>
          </w:tcPr>
          <w:p w14:paraId="1BF0AD9C">
            <w:pPr>
              <w:widowControl w:val="0"/>
              <w:wordWrap/>
              <w:adjustRightInd/>
              <w:snapToGrid/>
              <w:spacing w:line="440" w:lineRule="exact"/>
              <w:ind w:left="0" w:leftChars="0" w:right="0" w:firstLine="0" w:firstLineChars="0"/>
              <w:jc w:val="both"/>
              <w:textAlignment w:val="auto"/>
              <w:outlineLvl w:val="9"/>
              <w:rPr>
                <w:rFonts w:hint="eastAsia" w:ascii="仿宋_GB2312" w:hAnsi="仿宋_GB2312" w:eastAsia="仿宋_GB2312" w:cs="仿宋_GB2312"/>
                <w:b w:val="0"/>
                <w:bCs w:val="0"/>
                <w:color w:val="000000"/>
                <w:sz w:val="24"/>
                <w:szCs w:val="24"/>
                <w:highlight w:val="none"/>
                <w:lang w:val="en-US" w:eastAsia="zh-CN"/>
              </w:rPr>
            </w:pPr>
            <w:r>
              <w:rPr>
                <w:rFonts w:hint="eastAsia" w:ascii="仿宋_GB2312" w:hAnsi="仿宋_GB2312" w:eastAsia="仿宋_GB2312" w:cs="仿宋_GB2312"/>
                <w:b w:val="0"/>
                <w:bCs w:val="0"/>
                <w:color w:val="000000"/>
                <w:sz w:val="24"/>
                <w:szCs w:val="24"/>
                <w:highlight w:val="none"/>
                <w:lang w:val="en-US" w:eastAsia="zh-CN"/>
              </w:rPr>
              <w:t>支持东北农业大学、哈尔滨工业大学、黑龙江农业职业技术学院等高校参与佳木斯国家农高区现代农业产教联合体建设，在农业类高校设立产业导师特聘岗。</w:t>
            </w:r>
          </w:p>
        </w:tc>
      </w:tr>
      <w:tr w14:paraId="028CD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823" w:type="dxa"/>
            <w:vAlign w:val="center"/>
          </w:tcPr>
          <w:p w14:paraId="5E7CE5C5">
            <w:pPr>
              <w:widowControl w:val="0"/>
              <w:wordWrap/>
              <w:adjustRightInd/>
              <w:snapToGrid/>
              <w:spacing w:line="440" w:lineRule="exact"/>
              <w:ind w:left="0" w:leftChars="0" w:right="0" w:firstLine="0" w:firstLineChars="0"/>
              <w:jc w:val="center"/>
              <w:textAlignment w:val="auto"/>
              <w:outlineLvl w:val="9"/>
              <w:rPr>
                <w:rFonts w:hint="eastAsia" w:ascii="仿宋_GB2312" w:hAnsi="仿宋_GB2312" w:eastAsia="仿宋_GB2312" w:cs="仿宋_GB2312"/>
                <w:b w:val="0"/>
                <w:bCs w:val="0"/>
                <w:color w:val="000000"/>
                <w:sz w:val="24"/>
                <w:szCs w:val="24"/>
                <w:highlight w:val="none"/>
                <w:lang w:val="en-US" w:eastAsia="zh-CN"/>
              </w:rPr>
            </w:pPr>
            <w:r>
              <w:rPr>
                <w:rFonts w:hint="eastAsia" w:ascii="仿宋_GB2312" w:hAnsi="仿宋_GB2312" w:eastAsia="仿宋_GB2312" w:cs="仿宋_GB2312"/>
                <w:b w:val="0"/>
                <w:bCs w:val="0"/>
                <w:color w:val="000000"/>
                <w:sz w:val="24"/>
                <w:szCs w:val="24"/>
                <w:highlight w:val="none"/>
                <w:lang w:val="en-US" w:eastAsia="zh-CN"/>
              </w:rPr>
              <w:t>4</w:t>
            </w:r>
          </w:p>
        </w:tc>
        <w:tc>
          <w:tcPr>
            <w:tcW w:w="13376" w:type="dxa"/>
            <w:vAlign w:val="center"/>
          </w:tcPr>
          <w:p w14:paraId="60DB9896">
            <w:pPr>
              <w:widowControl w:val="0"/>
              <w:wordWrap/>
              <w:adjustRightInd/>
              <w:snapToGrid/>
              <w:spacing w:line="440" w:lineRule="exact"/>
              <w:ind w:left="0" w:leftChars="0" w:right="0" w:firstLine="0" w:firstLineChars="0"/>
              <w:jc w:val="both"/>
              <w:textAlignment w:val="auto"/>
              <w:outlineLvl w:val="9"/>
              <w:rPr>
                <w:rFonts w:hint="eastAsia" w:ascii="仿宋_GB2312" w:hAnsi="仿宋_GB2312" w:eastAsia="仿宋_GB2312" w:cs="仿宋_GB2312"/>
                <w:b w:val="0"/>
                <w:bCs w:val="0"/>
                <w:color w:val="000000"/>
                <w:sz w:val="24"/>
                <w:szCs w:val="24"/>
                <w:highlight w:val="none"/>
              </w:rPr>
            </w:pPr>
            <w:r>
              <w:rPr>
                <w:rFonts w:hint="eastAsia" w:ascii="仿宋_GB2312" w:hAnsi="仿宋_GB2312" w:eastAsia="仿宋_GB2312" w:cs="仿宋_GB2312"/>
                <w:b w:val="0"/>
                <w:bCs w:val="0"/>
                <w:color w:val="000000"/>
                <w:sz w:val="24"/>
                <w:szCs w:val="24"/>
                <w:highlight w:val="none"/>
                <w:lang w:val="en-US" w:eastAsia="zh-CN"/>
              </w:rPr>
              <w:t>支持黑龙江农业职业技术学院、北大荒农垦集团有限公司建三江分公司建设智慧农业和智能育种产教融合实践中心，鼓励佳木斯市域职业院校和企业申报国家级、省级现代职业教育体系建设改革重点任务。</w:t>
            </w:r>
          </w:p>
        </w:tc>
      </w:tr>
      <w:tr w14:paraId="22AF9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823" w:type="dxa"/>
            <w:vAlign w:val="center"/>
          </w:tcPr>
          <w:p w14:paraId="0C9F6755">
            <w:pPr>
              <w:widowControl w:val="0"/>
              <w:wordWrap/>
              <w:adjustRightInd/>
              <w:snapToGrid/>
              <w:spacing w:line="440" w:lineRule="exact"/>
              <w:ind w:left="0" w:leftChars="0" w:right="0" w:firstLine="0" w:firstLineChars="0"/>
              <w:jc w:val="center"/>
              <w:textAlignment w:val="auto"/>
              <w:outlineLvl w:val="9"/>
              <w:rPr>
                <w:rFonts w:hint="eastAsia" w:ascii="仿宋_GB2312" w:hAnsi="仿宋_GB2312" w:eastAsia="仿宋_GB2312" w:cs="仿宋_GB2312"/>
                <w:b w:val="0"/>
                <w:bCs w:val="0"/>
                <w:color w:val="000000"/>
                <w:sz w:val="24"/>
                <w:szCs w:val="24"/>
                <w:highlight w:val="none"/>
                <w:lang w:val="en-US" w:eastAsia="zh-CN"/>
              </w:rPr>
            </w:pPr>
            <w:r>
              <w:rPr>
                <w:rFonts w:hint="eastAsia" w:ascii="仿宋_GB2312" w:hAnsi="仿宋_GB2312" w:eastAsia="仿宋_GB2312" w:cs="仿宋_GB2312"/>
                <w:b w:val="0"/>
                <w:bCs w:val="0"/>
                <w:color w:val="000000"/>
                <w:sz w:val="24"/>
                <w:szCs w:val="24"/>
                <w:highlight w:val="none"/>
                <w:lang w:val="en-US" w:eastAsia="zh-CN"/>
              </w:rPr>
              <w:t>5</w:t>
            </w:r>
          </w:p>
        </w:tc>
        <w:tc>
          <w:tcPr>
            <w:tcW w:w="13376" w:type="dxa"/>
            <w:vAlign w:val="center"/>
          </w:tcPr>
          <w:p w14:paraId="5CCAD1D5">
            <w:pPr>
              <w:widowControl w:val="0"/>
              <w:wordWrap/>
              <w:adjustRightInd/>
              <w:snapToGrid/>
              <w:spacing w:line="440" w:lineRule="exact"/>
              <w:ind w:left="0" w:leftChars="0" w:right="0" w:firstLine="0" w:firstLineChars="0"/>
              <w:jc w:val="both"/>
              <w:textAlignment w:val="auto"/>
              <w:outlineLvl w:val="9"/>
              <w:rPr>
                <w:rFonts w:hint="eastAsia" w:ascii="仿宋_GB2312" w:hAnsi="仿宋_GB2312" w:eastAsia="仿宋_GB2312" w:cs="仿宋_GB2312"/>
                <w:b w:val="0"/>
                <w:bCs w:val="0"/>
                <w:color w:val="000000"/>
                <w:sz w:val="24"/>
                <w:szCs w:val="24"/>
                <w:highlight w:val="none"/>
                <w:lang w:val="en-US" w:eastAsia="zh-CN"/>
              </w:rPr>
            </w:pPr>
            <w:r>
              <w:rPr>
                <w:rFonts w:hint="eastAsia" w:ascii="仿宋_GB2312" w:hAnsi="仿宋_GB2312" w:eastAsia="仿宋_GB2312" w:cs="仿宋_GB2312"/>
                <w:b w:val="0"/>
                <w:bCs w:val="0"/>
                <w:color w:val="000000"/>
                <w:sz w:val="24"/>
                <w:szCs w:val="24"/>
                <w:highlight w:val="none"/>
                <w:lang w:val="en-US" w:eastAsia="zh-CN"/>
              </w:rPr>
              <w:t>支持佳木斯市创建产教融合试点城市，鼓励省属院校与佳木斯域内企业开展校企合作，并申报产教融合型企业。</w:t>
            </w:r>
          </w:p>
        </w:tc>
      </w:tr>
      <w:tr w14:paraId="7DBD5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823" w:type="dxa"/>
            <w:vAlign w:val="center"/>
          </w:tcPr>
          <w:p w14:paraId="0B5FC8D4">
            <w:pPr>
              <w:widowControl w:val="0"/>
              <w:wordWrap/>
              <w:adjustRightInd/>
              <w:snapToGrid/>
              <w:spacing w:line="440" w:lineRule="exact"/>
              <w:ind w:left="0" w:leftChars="0" w:right="0" w:firstLine="0" w:firstLineChars="0"/>
              <w:jc w:val="center"/>
              <w:textAlignment w:val="auto"/>
              <w:outlineLvl w:val="9"/>
              <w:rPr>
                <w:rFonts w:hint="eastAsia" w:ascii="仿宋_GB2312" w:hAnsi="仿宋_GB2312" w:eastAsia="仿宋_GB2312" w:cs="仿宋_GB2312"/>
                <w:b w:val="0"/>
                <w:bCs w:val="0"/>
                <w:color w:val="000000"/>
                <w:sz w:val="24"/>
                <w:szCs w:val="24"/>
                <w:highlight w:val="none"/>
                <w:lang w:val="en-US" w:eastAsia="zh-CN"/>
              </w:rPr>
            </w:pPr>
            <w:r>
              <w:rPr>
                <w:rFonts w:hint="eastAsia" w:ascii="仿宋_GB2312" w:hAnsi="仿宋_GB2312" w:eastAsia="仿宋_GB2312" w:cs="仿宋_GB2312"/>
                <w:b w:val="0"/>
                <w:bCs w:val="0"/>
                <w:color w:val="000000"/>
                <w:sz w:val="24"/>
                <w:szCs w:val="24"/>
                <w:highlight w:val="none"/>
                <w:lang w:val="en-US" w:eastAsia="zh-CN"/>
              </w:rPr>
              <w:t>6</w:t>
            </w:r>
          </w:p>
        </w:tc>
        <w:tc>
          <w:tcPr>
            <w:tcW w:w="13376" w:type="dxa"/>
            <w:vAlign w:val="center"/>
          </w:tcPr>
          <w:p w14:paraId="4C5FEA0C">
            <w:pPr>
              <w:widowControl w:val="0"/>
              <w:wordWrap/>
              <w:adjustRightInd/>
              <w:snapToGrid/>
              <w:spacing w:line="440" w:lineRule="exact"/>
              <w:ind w:left="0" w:leftChars="0" w:right="0" w:firstLine="0" w:firstLineChars="0"/>
              <w:jc w:val="both"/>
              <w:textAlignment w:val="auto"/>
              <w:outlineLvl w:val="9"/>
              <w:rPr>
                <w:rFonts w:hint="eastAsia" w:ascii="仿宋_GB2312" w:hAnsi="仿宋_GB2312" w:eastAsia="仿宋_GB2312" w:cs="仿宋_GB2312"/>
                <w:b w:val="0"/>
                <w:bCs w:val="0"/>
                <w:color w:val="000000"/>
                <w:sz w:val="24"/>
                <w:szCs w:val="24"/>
                <w:highlight w:val="none"/>
                <w:lang w:val="en-US" w:eastAsia="zh-CN"/>
              </w:rPr>
            </w:pPr>
            <w:r>
              <w:rPr>
                <w:rFonts w:hint="eastAsia" w:ascii="仿宋_GB2312" w:hAnsi="仿宋_GB2312" w:eastAsia="仿宋_GB2312" w:cs="仿宋_GB2312"/>
                <w:b w:val="0"/>
                <w:bCs w:val="0"/>
                <w:color w:val="000000"/>
                <w:sz w:val="24"/>
                <w:szCs w:val="24"/>
                <w:highlight w:val="none"/>
                <w:lang w:val="en-US" w:eastAsia="zh-CN"/>
              </w:rPr>
              <w:t>鼓励佳木斯市域内院校开展贯通培养，适度增加“3+2”、“3+4”贯通培养试点和招生计划，支持黑龙江农业职业技术学院、佳木斯职业学院试办本科专业，支持黑龙江省林业卫生学校试办高职专业。</w:t>
            </w:r>
          </w:p>
        </w:tc>
      </w:tr>
      <w:tr w14:paraId="0CD3C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823" w:type="dxa"/>
            <w:vAlign w:val="center"/>
          </w:tcPr>
          <w:p w14:paraId="27B5762E">
            <w:pPr>
              <w:widowControl w:val="0"/>
              <w:wordWrap/>
              <w:adjustRightInd/>
              <w:snapToGrid/>
              <w:spacing w:line="440" w:lineRule="exact"/>
              <w:ind w:left="0" w:leftChars="0" w:right="0" w:firstLine="0" w:firstLineChars="0"/>
              <w:jc w:val="center"/>
              <w:textAlignment w:val="auto"/>
              <w:outlineLvl w:val="9"/>
              <w:rPr>
                <w:rFonts w:hint="eastAsia" w:ascii="仿宋_GB2312" w:hAnsi="仿宋_GB2312" w:eastAsia="仿宋_GB2312" w:cs="仿宋_GB2312"/>
                <w:b w:val="0"/>
                <w:bCs w:val="0"/>
                <w:color w:val="000000"/>
                <w:sz w:val="24"/>
                <w:szCs w:val="24"/>
                <w:highlight w:val="none"/>
                <w:lang w:val="en-US" w:eastAsia="zh-CN"/>
              </w:rPr>
            </w:pPr>
            <w:r>
              <w:rPr>
                <w:rFonts w:hint="eastAsia" w:ascii="仿宋_GB2312" w:hAnsi="仿宋_GB2312" w:eastAsia="仿宋_GB2312" w:cs="仿宋_GB2312"/>
                <w:b w:val="0"/>
                <w:bCs w:val="0"/>
                <w:color w:val="000000"/>
                <w:sz w:val="24"/>
                <w:szCs w:val="24"/>
                <w:highlight w:val="none"/>
                <w:lang w:val="en-US" w:eastAsia="zh-CN"/>
              </w:rPr>
              <w:t>7</w:t>
            </w:r>
          </w:p>
        </w:tc>
        <w:tc>
          <w:tcPr>
            <w:tcW w:w="13376" w:type="dxa"/>
            <w:vAlign w:val="center"/>
          </w:tcPr>
          <w:p w14:paraId="2AF05C4A">
            <w:pPr>
              <w:widowControl w:val="0"/>
              <w:wordWrap/>
              <w:adjustRightInd/>
              <w:snapToGrid/>
              <w:spacing w:line="440" w:lineRule="exact"/>
              <w:ind w:left="0" w:leftChars="0" w:right="0" w:firstLine="0" w:firstLineChars="0"/>
              <w:jc w:val="both"/>
              <w:textAlignment w:val="auto"/>
              <w:outlineLvl w:val="9"/>
              <w:rPr>
                <w:rFonts w:hint="eastAsia" w:ascii="仿宋_GB2312" w:hAnsi="仿宋_GB2312" w:eastAsia="仿宋_GB2312" w:cs="仿宋_GB2312"/>
                <w:b w:val="0"/>
                <w:bCs w:val="0"/>
                <w:color w:val="000000"/>
                <w:sz w:val="24"/>
                <w:szCs w:val="24"/>
                <w:highlight w:val="none"/>
                <w:lang w:val="en-US" w:eastAsia="zh-CN"/>
              </w:rPr>
            </w:pPr>
            <w:r>
              <w:rPr>
                <w:rFonts w:hint="eastAsia" w:ascii="仿宋_GB2312" w:hAnsi="仿宋_GB2312" w:eastAsia="仿宋_GB2312" w:cs="仿宋_GB2312"/>
                <w:b w:val="0"/>
                <w:bCs w:val="0"/>
                <w:color w:val="000000"/>
                <w:sz w:val="24"/>
                <w:szCs w:val="24"/>
                <w:highlight w:val="none"/>
                <w:lang w:val="en-US" w:eastAsia="zh-CN"/>
              </w:rPr>
              <w:t>支持佳木斯市县域职普一体学校建立综合高中，开设职普融通试验班，开展学籍互转、课程互选、学分互认试点。</w:t>
            </w:r>
          </w:p>
        </w:tc>
      </w:tr>
      <w:tr w14:paraId="51B69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823" w:type="dxa"/>
            <w:vAlign w:val="center"/>
          </w:tcPr>
          <w:p w14:paraId="5C42EFDE">
            <w:pPr>
              <w:widowControl w:val="0"/>
              <w:wordWrap/>
              <w:adjustRightInd/>
              <w:snapToGrid/>
              <w:spacing w:line="440" w:lineRule="exact"/>
              <w:ind w:left="0" w:leftChars="0" w:right="0" w:firstLine="0" w:firstLineChars="0"/>
              <w:jc w:val="center"/>
              <w:textAlignment w:val="auto"/>
              <w:outlineLvl w:val="9"/>
              <w:rPr>
                <w:rFonts w:hint="eastAsia" w:ascii="仿宋_GB2312" w:hAnsi="仿宋_GB2312" w:eastAsia="仿宋_GB2312" w:cs="仿宋_GB2312"/>
                <w:b w:val="0"/>
                <w:bCs w:val="0"/>
                <w:color w:val="000000"/>
                <w:sz w:val="24"/>
                <w:szCs w:val="24"/>
                <w:highlight w:val="none"/>
                <w:lang w:val="en-US" w:eastAsia="zh-CN"/>
              </w:rPr>
            </w:pPr>
            <w:r>
              <w:rPr>
                <w:rFonts w:hint="eastAsia" w:ascii="仿宋_GB2312" w:hAnsi="仿宋_GB2312" w:eastAsia="仿宋_GB2312" w:cs="仿宋_GB2312"/>
                <w:b w:val="0"/>
                <w:bCs w:val="0"/>
                <w:color w:val="000000"/>
                <w:sz w:val="24"/>
                <w:szCs w:val="24"/>
                <w:highlight w:val="none"/>
                <w:lang w:val="en-US" w:eastAsia="zh-CN"/>
              </w:rPr>
              <w:t>8</w:t>
            </w:r>
          </w:p>
        </w:tc>
        <w:tc>
          <w:tcPr>
            <w:tcW w:w="13376" w:type="dxa"/>
            <w:vAlign w:val="center"/>
          </w:tcPr>
          <w:p w14:paraId="1C2870B4">
            <w:pPr>
              <w:widowControl w:val="0"/>
              <w:wordWrap/>
              <w:adjustRightInd/>
              <w:snapToGrid/>
              <w:spacing w:line="440" w:lineRule="exact"/>
              <w:ind w:left="0" w:leftChars="0" w:right="0" w:firstLine="0" w:firstLineChars="0"/>
              <w:jc w:val="both"/>
              <w:textAlignment w:val="auto"/>
              <w:outlineLvl w:val="9"/>
              <w:rPr>
                <w:rFonts w:hint="eastAsia" w:ascii="仿宋_GB2312" w:hAnsi="仿宋_GB2312" w:eastAsia="仿宋_GB2312" w:cs="仿宋_GB2312"/>
                <w:b w:val="0"/>
                <w:bCs w:val="0"/>
                <w:color w:val="000000"/>
                <w:sz w:val="24"/>
                <w:szCs w:val="24"/>
                <w:highlight w:val="none"/>
                <w:lang w:val="en-US" w:eastAsia="zh-CN"/>
              </w:rPr>
            </w:pPr>
            <w:r>
              <w:rPr>
                <w:rFonts w:hint="eastAsia" w:ascii="仿宋_GB2312" w:hAnsi="仿宋_GB2312" w:eastAsia="仿宋_GB2312" w:cs="仿宋_GB2312"/>
                <w:b w:val="0"/>
                <w:bCs w:val="0"/>
                <w:color w:val="000000"/>
                <w:sz w:val="24"/>
                <w:szCs w:val="24"/>
                <w:highlight w:val="none"/>
                <w:lang w:val="en-US" w:eastAsia="zh-CN"/>
              </w:rPr>
              <w:t>支持佳木斯市创建学习型城市，支持黑龙江农业职业技术学院建立乡村振兴学院，桦南县综合职业教育中心学校开展学分制成人中专试点。</w:t>
            </w:r>
          </w:p>
        </w:tc>
      </w:tr>
      <w:tr w14:paraId="60442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823" w:type="dxa"/>
            <w:vAlign w:val="center"/>
          </w:tcPr>
          <w:p w14:paraId="2C82639A">
            <w:pPr>
              <w:widowControl w:val="0"/>
              <w:wordWrap/>
              <w:adjustRightInd/>
              <w:snapToGrid/>
              <w:spacing w:line="440" w:lineRule="exact"/>
              <w:ind w:left="0" w:leftChars="0" w:right="0" w:firstLine="0" w:firstLineChars="0"/>
              <w:jc w:val="center"/>
              <w:textAlignment w:val="auto"/>
              <w:outlineLvl w:val="9"/>
              <w:rPr>
                <w:rFonts w:hint="eastAsia" w:ascii="仿宋_GB2312" w:hAnsi="仿宋_GB2312" w:eastAsia="仿宋_GB2312" w:cs="仿宋_GB2312"/>
                <w:b w:val="0"/>
                <w:bCs w:val="0"/>
                <w:color w:val="000000"/>
                <w:sz w:val="24"/>
                <w:szCs w:val="24"/>
                <w:highlight w:val="none"/>
                <w:lang w:val="en-US" w:eastAsia="zh-CN"/>
              </w:rPr>
            </w:pPr>
            <w:r>
              <w:rPr>
                <w:rFonts w:hint="eastAsia" w:ascii="仿宋_GB2312" w:hAnsi="仿宋_GB2312" w:eastAsia="仿宋_GB2312" w:cs="仿宋_GB2312"/>
                <w:b w:val="0"/>
                <w:bCs w:val="0"/>
                <w:color w:val="000000"/>
                <w:sz w:val="24"/>
                <w:szCs w:val="24"/>
                <w:highlight w:val="none"/>
                <w:lang w:val="en-US" w:eastAsia="zh-CN"/>
              </w:rPr>
              <w:t>9</w:t>
            </w:r>
          </w:p>
        </w:tc>
        <w:tc>
          <w:tcPr>
            <w:tcW w:w="13376" w:type="dxa"/>
            <w:vAlign w:val="center"/>
          </w:tcPr>
          <w:p w14:paraId="74B7A1A9">
            <w:pPr>
              <w:widowControl w:val="0"/>
              <w:wordWrap/>
              <w:adjustRightInd/>
              <w:snapToGrid/>
              <w:spacing w:line="440" w:lineRule="exact"/>
              <w:ind w:left="0" w:leftChars="0" w:right="0" w:firstLine="0" w:firstLineChars="0"/>
              <w:jc w:val="both"/>
              <w:textAlignment w:val="auto"/>
              <w:outlineLvl w:val="9"/>
              <w:rPr>
                <w:rFonts w:hint="eastAsia" w:ascii="仿宋_GB2312" w:hAnsi="仿宋_GB2312" w:eastAsia="仿宋_GB2312" w:cs="仿宋_GB2312"/>
                <w:b w:val="0"/>
                <w:bCs w:val="0"/>
                <w:color w:val="000000"/>
                <w:sz w:val="24"/>
                <w:szCs w:val="24"/>
                <w:highlight w:val="none"/>
                <w:lang w:val="en-US" w:eastAsia="zh-CN"/>
              </w:rPr>
            </w:pPr>
            <w:r>
              <w:rPr>
                <w:rFonts w:hint="eastAsia" w:ascii="仿宋_GB2312" w:hAnsi="仿宋_GB2312" w:eastAsia="仿宋_GB2312" w:cs="仿宋_GB2312"/>
                <w:b w:val="0"/>
                <w:bCs w:val="0"/>
                <w:color w:val="000000"/>
                <w:sz w:val="24"/>
                <w:szCs w:val="24"/>
                <w:highlight w:val="none"/>
                <w:lang w:val="en-US" w:eastAsia="zh-CN"/>
              </w:rPr>
              <w:t>支持佳木斯职业学院、黑龙江农业职业技术学院申报省级“双师型”教师培训基地，支持省属高校与佳木斯市合作开展职教师资顶岗置换，鼓励高职院校毕业生到佳木斯市职业院校实习实训和就业。</w:t>
            </w:r>
          </w:p>
        </w:tc>
      </w:tr>
      <w:tr w14:paraId="624C2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823" w:type="dxa"/>
            <w:vAlign w:val="center"/>
          </w:tcPr>
          <w:p w14:paraId="5C84A0BA">
            <w:pPr>
              <w:widowControl w:val="0"/>
              <w:wordWrap/>
              <w:adjustRightInd/>
              <w:snapToGrid/>
              <w:spacing w:line="440" w:lineRule="exact"/>
              <w:ind w:left="0" w:leftChars="0" w:right="0" w:firstLine="0" w:firstLineChars="0"/>
              <w:jc w:val="center"/>
              <w:textAlignment w:val="auto"/>
              <w:outlineLvl w:val="9"/>
              <w:rPr>
                <w:rFonts w:hint="eastAsia" w:ascii="仿宋_GB2312" w:hAnsi="仿宋_GB2312" w:eastAsia="仿宋_GB2312" w:cs="仿宋_GB2312"/>
                <w:b w:val="0"/>
                <w:bCs w:val="0"/>
                <w:color w:val="000000"/>
                <w:sz w:val="24"/>
                <w:szCs w:val="24"/>
                <w:highlight w:val="none"/>
                <w:lang w:val="en-US" w:eastAsia="zh-CN"/>
              </w:rPr>
            </w:pPr>
            <w:r>
              <w:rPr>
                <w:rFonts w:hint="eastAsia" w:ascii="仿宋_GB2312" w:hAnsi="仿宋_GB2312" w:eastAsia="仿宋_GB2312" w:cs="仿宋_GB2312"/>
                <w:b w:val="0"/>
                <w:bCs w:val="0"/>
                <w:color w:val="000000"/>
                <w:sz w:val="24"/>
                <w:szCs w:val="24"/>
                <w:highlight w:val="none"/>
                <w:lang w:val="en-US" w:eastAsia="zh-CN"/>
              </w:rPr>
              <w:t>10</w:t>
            </w:r>
          </w:p>
        </w:tc>
        <w:tc>
          <w:tcPr>
            <w:tcW w:w="13376" w:type="dxa"/>
            <w:vAlign w:val="center"/>
          </w:tcPr>
          <w:p w14:paraId="6ACADBD8">
            <w:pPr>
              <w:widowControl w:val="0"/>
              <w:wordWrap/>
              <w:adjustRightInd/>
              <w:snapToGrid/>
              <w:spacing w:line="440" w:lineRule="exact"/>
              <w:ind w:left="0" w:leftChars="0" w:right="0" w:firstLine="0" w:firstLineChars="0"/>
              <w:jc w:val="both"/>
              <w:textAlignment w:val="auto"/>
              <w:outlineLvl w:val="9"/>
              <w:rPr>
                <w:rFonts w:hint="eastAsia" w:ascii="仿宋_GB2312" w:hAnsi="仿宋_GB2312" w:eastAsia="仿宋_GB2312" w:cs="仿宋_GB2312"/>
                <w:b w:val="0"/>
                <w:bCs w:val="0"/>
                <w:color w:val="000000"/>
                <w:sz w:val="24"/>
                <w:szCs w:val="24"/>
                <w:highlight w:val="none"/>
                <w:lang w:val="en-US" w:eastAsia="zh-CN"/>
              </w:rPr>
            </w:pPr>
            <w:r>
              <w:rPr>
                <w:rFonts w:hint="eastAsia" w:ascii="仿宋_GB2312" w:hAnsi="仿宋_GB2312" w:eastAsia="仿宋_GB2312" w:cs="仿宋_GB2312"/>
                <w:b w:val="0"/>
                <w:bCs w:val="0"/>
                <w:color w:val="000000"/>
                <w:sz w:val="24"/>
                <w:szCs w:val="24"/>
                <w:highlight w:val="none"/>
                <w:lang w:val="en-US" w:eastAsia="zh-CN"/>
              </w:rPr>
              <w:t>支持佳木斯市承办国家级、省级“会盟赛展”系列活动，扩大佳木斯职业教育影响力。</w:t>
            </w:r>
          </w:p>
        </w:tc>
      </w:tr>
      <w:tr w14:paraId="46DD1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823" w:type="dxa"/>
            <w:vAlign w:val="center"/>
          </w:tcPr>
          <w:p w14:paraId="794E255F">
            <w:pPr>
              <w:widowControl w:val="0"/>
              <w:wordWrap/>
              <w:adjustRightInd/>
              <w:snapToGrid/>
              <w:spacing w:line="440" w:lineRule="exact"/>
              <w:ind w:left="0" w:leftChars="0" w:right="0" w:firstLine="0" w:firstLineChars="0"/>
              <w:jc w:val="center"/>
              <w:textAlignment w:val="auto"/>
              <w:outlineLvl w:val="9"/>
              <w:rPr>
                <w:rFonts w:hint="eastAsia" w:ascii="仿宋_GB2312" w:hAnsi="仿宋_GB2312" w:eastAsia="仿宋_GB2312" w:cs="仿宋_GB2312"/>
                <w:b w:val="0"/>
                <w:bCs w:val="0"/>
                <w:color w:val="000000"/>
                <w:sz w:val="24"/>
                <w:szCs w:val="24"/>
                <w:highlight w:val="none"/>
                <w:lang w:val="en-US" w:eastAsia="zh-CN"/>
              </w:rPr>
            </w:pPr>
            <w:r>
              <w:rPr>
                <w:rFonts w:hint="eastAsia" w:ascii="仿宋_GB2312" w:hAnsi="仿宋_GB2312" w:eastAsia="仿宋_GB2312" w:cs="仿宋_GB2312"/>
                <w:b w:val="0"/>
                <w:bCs w:val="0"/>
                <w:color w:val="000000"/>
                <w:sz w:val="24"/>
                <w:szCs w:val="24"/>
                <w:highlight w:val="none"/>
                <w:lang w:val="en-US" w:eastAsia="zh-CN"/>
              </w:rPr>
              <w:t>11</w:t>
            </w:r>
          </w:p>
        </w:tc>
        <w:tc>
          <w:tcPr>
            <w:tcW w:w="13376" w:type="dxa"/>
            <w:vAlign w:val="center"/>
          </w:tcPr>
          <w:p w14:paraId="2AD85CC6">
            <w:pPr>
              <w:widowControl w:val="0"/>
              <w:wordWrap/>
              <w:adjustRightInd/>
              <w:snapToGrid/>
              <w:spacing w:line="440" w:lineRule="exact"/>
              <w:ind w:left="0" w:leftChars="0" w:right="0" w:firstLine="0" w:firstLineChars="0"/>
              <w:jc w:val="both"/>
              <w:textAlignment w:val="auto"/>
              <w:outlineLvl w:val="9"/>
              <w:rPr>
                <w:rFonts w:hint="eastAsia" w:ascii="仿宋_GB2312" w:hAnsi="仿宋_GB2312" w:eastAsia="仿宋_GB2312" w:cs="仿宋_GB2312"/>
                <w:b w:val="0"/>
                <w:bCs w:val="0"/>
                <w:color w:val="000000"/>
                <w:sz w:val="24"/>
                <w:szCs w:val="24"/>
                <w:highlight w:val="none"/>
                <w:lang w:val="en-US" w:eastAsia="zh-CN"/>
              </w:rPr>
            </w:pPr>
            <w:r>
              <w:rPr>
                <w:rFonts w:hint="eastAsia" w:ascii="仿宋_GB2312" w:hAnsi="仿宋_GB2312" w:eastAsia="仿宋_GB2312" w:cs="仿宋_GB2312"/>
                <w:b w:val="0"/>
                <w:bCs w:val="0"/>
                <w:color w:val="000000"/>
                <w:sz w:val="24"/>
                <w:szCs w:val="24"/>
                <w:highlight w:val="none"/>
                <w:lang w:val="en-US" w:eastAsia="zh-CN"/>
              </w:rPr>
              <w:t>支持佳木斯职业学院、黑龙江农业职业技术学院在俄罗斯和吉尔吉斯斯坦建设“开物工坊”。</w:t>
            </w:r>
          </w:p>
        </w:tc>
      </w:tr>
      <w:tr w14:paraId="6EDD3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823" w:type="dxa"/>
            <w:vAlign w:val="center"/>
          </w:tcPr>
          <w:p w14:paraId="3B1013EE">
            <w:pPr>
              <w:widowControl w:val="0"/>
              <w:wordWrap/>
              <w:adjustRightInd/>
              <w:snapToGrid/>
              <w:spacing w:line="440" w:lineRule="exact"/>
              <w:ind w:left="0" w:leftChars="0" w:right="0" w:firstLine="0" w:firstLineChars="0"/>
              <w:jc w:val="center"/>
              <w:textAlignment w:val="auto"/>
              <w:outlineLvl w:val="9"/>
              <w:rPr>
                <w:rFonts w:hint="eastAsia" w:ascii="仿宋_GB2312" w:hAnsi="仿宋_GB2312" w:eastAsia="仿宋_GB2312" w:cs="仿宋_GB2312"/>
                <w:b w:val="0"/>
                <w:bCs w:val="0"/>
                <w:color w:val="000000"/>
                <w:sz w:val="24"/>
                <w:szCs w:val="24"/>
                <w:highlight w:val="none"/>
                <w:lang w:val="en-US" w:eastAsia="zh-CN"/>
              </w:rPr>
            </w:pPr>
            <w:r>
              <w:rPr>
                <w:rFonts w:hint="eastAsia" w:ascii="仿宋_GB2312" w:hAnsi="仿宋_GB2312" w:eastAsia="仿宋_GB2312" w:cs="仿宋_GB2312"/>
                <w:b w:val="0"/>
                <w:bCs w:val="0"/>
                <w:color w:val="000000"/>
                <w:sz w:val="24"/>
                <w:szCs w:val="24"/>
                <w:highlight w:val="none"/>
                <w:lang w:val="en-US" w:eastAsia="zh-CN"/>
              </w:rPr>
              <w:t>12</w:t>
            </w:r>
          </w:p>
        </w:tc>
        <w:tc>
          <w:tcPr>
            <w:tcW w:w="13376" w:type="dxa"/>
            <w:vAlign w:val="center"/>
          </w:tcPr>
          <w:p w14:paraId="57831EEB">
            <w:pPr>
              <w:widowControl w:val="0"/>
              <w:wordWrap/>
              <w:adjustRightInd/>
              <w:snapToGrid/>
              <w:spacing w:line="440" w:lineRule="exact"/>
              <w:ind w:left="0" w:leftChars="0" w:right="0" w:firstLine="0" w:firstLineChars="0"/>
              <w:jc w:val="both"/>
              <w:textAlignment w:val="auto"/>
              <w:outlineLvl w:val="9"/>
              <w:rPr>
                <w:rFonts w:hint="eastAsia" w:ascii="仿宋_GB2312" w:hAnsi="仿宋_GB2312" w:eastAsia="仿宋_GB2312" w:cs="仿宋_GB2312"/>
                <w:b w:val="0"/>
                <w:bCs w:val="0"/>
                <w:color w:val="000000"/>
                <w:sz w:val="24"/>
                <w:szCs w:val="24"/>
                <w:highlight w:val="none"/>
                <w:lang w:val="en-US" w:eastAsia="zh-CN"/>
              </w:rPr>
            </w:pPr>
            <w:r>
              <w:rPr>
                <w:rFonts w:hint="eastAsia" w:ascii="仿宋_GB2312" w:hAnsi="仿宋_GB2312" w:eastAsia="仿宋_GB2312" w:cs="仿宋_GB2312"/>
                <w:b w:val="0"/>
                <w:bCs w:val="0"/>
                <w:color w:val="000000"/>
                <w:sz w:val="24"/>
                <w:szCs w:val="24"/>
                <w:highlight w:val="none"/>
                <w:lang w:val="en-US" w:eastAsia="zh-CN"/>
              </w:rPr>
              <w:t>依托黑龙江旅游职业技术学院佳木斯中职学院开设龙粤职教实验班，强化职业教育合作交流。</w:t>
            </w:r>
          </w:p>
        </w:tc>
      </w:tr>
      <w:tr w14:paraId="4A44B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823" w:type="dxa"/>
            <w:vAlign w:val="center"/>
          </w:tcPr>
          <w:p w14:paraId="0E387EE3">
            <w:pPr>
              <w:widowControl w:val="0"/>
              <w:wordWrap/>
              <w:adjustRightInd/>
              <w:snapToGrid/>
              <w:spacing w:line="440" w:lineRule="exact"/>
              <w:ind w:left="0" w:leftChars="0" w:right="0" w:firstLine="0" w:firstLineChars="0"/>
              <w:jc w:val="center"/>
              <w:textAlignment w:val="auto"/>
              <w:outlineLvl w:val="9"/>
              <w:rPr>
                <w:rFonts w:hint="eastAsia" w:ascii="仿宋_GB2312" w:hAnsi="仿宋_GB2312" w:eastAsia="仿宋_GB2312" w:cs="仿宋_GB2312"/>
                <w:b w:val="0"/>
                <w:bCs w:val="0"/>
                <w:color w:val="000000"/>
                <w:sz w:val="24"/>
                <w:szCs w:val="24"/>
                <w:highlight w:val="none"/>
                <w:lang w:val="en-US" w:eastAsia="zh-CN"/>
              </w:rPr>
            </w:pPr>
            <w:r>
              <w:rPr>
                <w:rFonts w:hint="eastAsia" w:ascii="仿宋_GB2312" w:hAnsi="仿宋_GB2312" w:eastAsia="仿宋_GB2312" w:cs="仿宋_GB2312"/>
                <w:b w:val="0"/>
                <w:bCs w:val="0"/>
                <w:color w:val="000000"/>
                <w:sz w:val="24"/>
                <w:szCs w:val="24"/>
                <w:highlight w:val="none"/>
                <w:lang w:val="en-US" w:eastAsia="zh-CN"/>
              </w:rPr>
              <w:t>13</w:t>
            </w:r>
          </w:p>
        </w:tc>
        <w:tc>
          <w:tcPr>
            <w:tcW w:w="13376" w:type="dxa"/>
            <w:vAlign w:val="center"/>
          </w:tcPr>
          <w:p w14:paraId="450A0CA0">
            <w:pPr>
              <w:widowControl w:val="0"/>
              <w:wordWrap/>
              <w:adjustRightInd/>
              <w:snapToGrid/>
              <w:spacing w:line="440" w:lineRule="exact"/>
              <w:ind w:left="0" w:leftChars="0" w:right="0" w:firstLine="0" w:firstLineChars="0"/>
              <w:jc w:val="both"/>
              <w:textAlignment w:val="auto"/>
              <w:outlineLvl w:val="9"/>
              <w:rPr>
                <w:rFonts w:hint="eastAsia" w:ascii="仿宋_GB2312" w:hAnsi="仿宋_GB2312" w:eastAsia="仿宋_GB2312" w:cs="仿宋_GB2312"/>
                <w:b w:val="0"/>
                <w:bCs w:val="0"/>
                <w:color w:val="000000"/>
                <w:sz w:val="24"/>
                <w:szCs w:val="24"/>
                <w:highlight w:val="none"/>
                <w:lang w:val="en-US" w:eastAsia="zh-CN"/>
              </w:rPr>
            </w:pPr>
            <w:r>
              <w:rPr>
                <w:rFonts w:hint="eastAsia" w:ascii="仿宋_GB2312" w:hAnsi="仿宋_GB2312" w:eastAsia="仿宋_GB2312" w:cs="仿宋_GB2312"/>
                <w:b w:val="0"/>
                <w:bCs w:val="0"/>
                <w:color w:val="000000"/>
                <w:sz w:val="24"/>
                <w:szCs w:val="24"/>
                <w:highlight w:val="none"/>
                <w:lang w:val="en-US" w:eastAsia="zh-CN"/>
              </w:rPr>
              <w:t>支持佳木斯市建设职教园区，争取国家级“双高”“双优”计划，并通过现代职业教育质量提升计划资金、“十四五”教育强国推进工程给予倾斜。</w:t>
            </w:r>
          </w:p>
        </w:tc>
      </w:tr>
    </w:tbl>
    <w:p w14:paraId="10AFB524">
      <w:pPr>
        <w:adjustRightInd w:val="0"/>
        <w:snapToGrid w:val="0"/>
        <w:spacing w:line="580" w:lineRule="exact"/>
        <w:ind w:right="-198"/>
        <w:rPr>
          <w:rFonts w:hint="default" w:ascii="仿宋" w:hAnsi="仿宋" w:eastAsia="仿宋" w:cs="仿宋"/>
          <w:color w:val="auto"/>
          <w:kern w:val="0"/>
          <w:sz w:val="32"/>
          <w:szCs w:val="32"/>
          <w:highlight w:val="none"/>
          <w:u w:val="none"/>
          <w:lang w:val="en-US" w:eastAsia="zh-CN" w:bidi="ar-SA"/>
        </w:rPr>
      </w:pPr>
      <w:bookmarkStart w:id="0" w:name="_GoBack"/>
      <w:bookmarkEnd w:id="0"/>
    </w:p>
    <w:sectPr>
      <w:footerReference r:id="rId5" w:type="first"/>
      <w:footerReference r:id="rId3" w:type="default"/>
      <w:footerReference r:id="rId4" w:type="even"/>
      <w:pgSz w:w="16838" w:h="11906" w:orient="landscape"/>
      <w:pgMar w:top="1587" w:right="2098" w:bottom="1474" w:left="1984" w:header="851" w:footer="992" w:gutter="0"/>
      <w:pgNumType w:fmt="numberInDash"/>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87706423-38C6-4123-8F0D-15B8AEE3CE3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FFEC291B-F3CB-49B3-94CD-ACCF90C4ACB4}"/>
  </w:font>
  <w:font w:name="仿宋">
    <w:panose1 w:val="02010609060101010101"/>
    <w:charset w:val="86"/>
    <w:family w:val="auto"/>
    <w:pitch w:val="default"/>
    <w:sig w:usb0="800002BF" w:usb1="38CF7CFA" w:usb2="00000016" w:usb3="00000000" w:csb0="00040001" w:csb1="00000000"/>
    <w:embedRegular r:id="rId3" w:fontKey="{76204FD9-4E6D-4EF8-B2AD-ADD007BF5EF9}"/>
  </w:font>
  <w:font w:name="方正小标宋简体">
    <w:panose1 w:val="03000509000000000000"/>
    <w:charset w:val="86"/>
    <w:family w:val="auto"/>
    <w:pitch w:val="default"/>
    <w:sig w:usb0="00000001" w:usb1="080E0000" w:usb2="00000000" w:usb3="00000000" w:csb0="00040000" w:csb1="00000000"/>
    <w:embedRegular r:id="rId4" w:fontKey="{1F166ACE-1017-43F0-82FB-E3A5DDF3D95A}"/>
  </w:font>
  <w:font w:name="仿宋_GB2312">
    <w:panose1 w:val="02010609030101010101"/>
    <w:charset w:val="86"/>
    <w:family w:val="auto"/>
    <w:pitch w:val="default"/>
    <w:sig w:usb0="00000001" w:usb1="080E0000" w:usb2="00000000" w:usb3="00000000" w:csb0="00040000" w:csb1="00000000"/>
    <w:embedRegular r:id="rId5" w:fontKey="{6B1E9501-FD32-4B42-8901-0CFF73D159DA}"/>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EBE80F">
    <w:pPr>
      <w:pStyle w:val="5"/>
      <w:ind w:right="360" w:firstLine="360"/>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-219075</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1FD227E">
                          <w:pPr>
                            <w:pStyle w:val="5"/>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- 2 -</w:t>
                          </w:r>
                          <w:r>
                            <w:rPr>
                              <w:rFonts w:hint="eastAsia" w:ascii="宋体" w:hAnsi="宋体" w:eastAsia="宋体" w:cs="宋体"/>
                              <w:sz w:val="28"/>
                              <w:szCs w:val="28"/>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17.25pt;height:144pt;width:144pt;mso-position-horizontal:outside;mso-position-horizontal-relative:margin;mso-wrap-style:none;z-index:251659264;mso-width-relative:page;mso-height-relative:page;" filled="f" stroked="f" coordsize="21600,21600" o:gfxdata="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mSrGQ9UAAAAIAQAADwAAAAAAAAABACAAAAAiAAAAZHJzL2Rvd25y&#10;ZXYueG1sUEsBAhQAFAAAAAgAh07iQDSS+knIAQAAmQMAAA4AAAAAAAAAAQAgAAAAJAEAAGRycy9l&#10;Mm9Eb2MueG1sUEsFBgAAAAAGAAYAWQEAAF4FAAAAAA==&#10;">
              <v:fill on="f" focussize="0,0"/>
              <v:stroke on="f"/>
              <v:imagedata o:title=""/>
              <o:lock v:ext="edit" aspectratio="f"/>
              <v:textbox inset="0mm,0mm,0mm,0mm" style="mso-fit-shape-to-text:t;">
                <w:txbxContent>
                  <w:p w14:paraId="31FD227E">
                    <w:pPr>
                      <w:pStyle w:val="5"/>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- 2 -</w:t>
                    </w:r>
                    <w:r>
                      <w:rPr>
                        <w:rFonts w:hint="eastAsia" w:ascii="宋体" w:hAnsi="宋体" w:eastAsia="宋体" w:cs="宋体"/>
                        <w:sz w:val="28"/>
                        <w:szCs w:val="2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AFCD36">
    <w:pPr>
      <w:pStyle w:val="5"/>
      <w:framePr w:wrap="around" w:vAnchor="text" w:hAnchor="margin" w:xAlign="outside" w:y="1"/>
      <w:rPr>
        <w:rStyle w:val="13"/>
      </w:rPr>
    </w:pPr>
    <w:r>
      <w:fldChar w:fldCharType="begin"/>
    </w:r>
    <w:r>
      <w:rPr>
        <w:rStyle w:val="13"/>
      </w:rPr>
      <w:instrText xml:space="preserve">PAGE  </w:instrText>
    </w:r>
    <w:r>
      <w:fldChar w:fldCharType="separate"/>
    </w:r>
    <w:r>
      <w:fldChar w:fldCharType="end"/>
    </w:r>
  </w:p>
  <w:p w14:paraId="60B30B11">
    <w:pPr>
      <w:pStyle w:val="5"/>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8B8ED9">
    <w:pPr>
      <w:pStyle w:val="5"/>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-219075</wp:posOffset>
              </wp:positionV>
              <wp:extent cx="461010" cy="523875"/>
              <wp:effectExtent l="0" t="0" r="0" b="0"/>
              <wp:wrapNone/>
              <wp:docPr id="5" name="文本框 5"/>
              <wp:cNvGraphicFramePr/>
              <a:graphic xmlns:a="http://schemas.openxmlformats.org/drawingml/2006/main">
                <a:graphicData uri="http://schemas.microsoft.com/office/word/2010/wordprocessingShape">
                  <wps:wsp>
                    <wps:cNvSpPr txBox="1"/>
                    <wps:spPr>
                      <a:xfrm>
                        <a:off x="0" y="0"/>
                        <a:ext cx="461010" cy="523875"/>
                      </a:xfrm>
                      <a:prstGeom prst="rect">
                        <a:avLst/>
                      </a:prstGeom>
                      <a:noFill/>
                      <a:ln>
                        <a:noFill/>
                      </a:ln>
                    </wps:spPr>
                    <wps:txbx>
                      <w:txbxContent>
                        <w:p w14:paraId="6D981D86">
                          <w:pPr>
                            <w:pStyle w:val="5"/>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wrap="square" lIns="0" tIns="0" rIns="0" bIns="0" upright="0">
                      <a:noAutofit/>
                    </wps:bodyPr>
                  </wps:wsp>
                </a:graphicData>
              </a:graphic>
            </wp:anchor>
          </w:drawing>
        </mc:Choice>
        <mc:Fallback>
          <w:pict>
            <v:shape id="_x0000_s1026" o:spid="_x0000_s1026" o:spt="202" type="#_x0000_t202" style="position:absolute;left:0pt;margin-top:-17.25pt;height:41.25pt;width:36.3pt;mso-position-horizontal:outside;mso-position-horizontal-relative:margin;z-index:251660288;mso-width-relative:page;mso-height-relative:page;" filled="f" stroked="f" coordsize="21600,21600" o:gfxdata="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8g7ob1gAAAAYBAAAPAAAAAAAAAAEAIAAAACIAAABk&#10;cnMvZG93bnJldi54bWxQSwECFAAUAAAACACHTuJATWrrhM8BAACZAwAADgAAAAAAAAABACAAAAAl&#10;AQAAZHJzL2Uyb0RvYy54bWxQSwUGAAAAAAYABgBZAQAAZgUAAAAA&#10;">
              <v:fill on="f" focussize="0,0"/>
              <v:stroke on="f"/>
              <v:imagedata o:title=""/>
              <o:lock v:ext="edit" aspectratio="f"/>
              <v:textbox inset="0mm,0mm,0mm,0mm">
                <w:txbxContent>
                  <w:p w14:paraId="6D981D86">
                    <w:pPr>
                      <w:pStyle w:val="5"/>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9"/>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dmZTkwYWE4NGMyOTdjMTliNWE4NmVlNThjMGQzN2QifQ=="/>
  </w:docVars>
  <w:rsids>
    <w:rsidRoot w:val="572A405E"/>
    <w:rsid w:val="017F3510"/>
    <w:rsid w:val="04374476"/>
    <w:rsid w:val="07940E9D"/>
    <w:rsid w:val="09D14B2E"/>
    <w:rsid w:val="0C3D037F"/>
    <w:rsid w:val="0CE80427"/>
    <w:rsid w:val="0D2F7FD6"/>
    <w:rsid w:val="10750FA6"/>
    <w:rsid w:val="12361304"/>
    <w:rsid w:val="12A043D9"/>
    <w:rsid w:val="167E612A"/>
    <w:rsid w:val="17436EBA"/>
    <w:rsid w:val="198B3B37"/>
    <w:rsid w:val="19E35721"/>
    <w:rsid w:val="1A6A2765"/>
    <w:rsid w:val="1B63388F"/>
    <w:rsid w:val="1D2422D8"/>
    <w:rsid w:val="1DDA73DD"/>
    <w:rsid w:val="1EBF49AE"/>
    <w:rsid w:val="1EC06D5E"/>
    <w:rsid w:val="1F0B321E"/>
    <w:rsid w:val="201C778C"/>
    <w:rsid w:val="20601879"/>
    <w:rsid w:val="215238B8"/>
    <w:rsid w:val="22833F45"/>
    <w:rsid w:val="23E869F5"/>
    <w:rsid w:val="24C156F4"/>
    <w:rsid w:val="25C65F86"/>
    <w:rsid w:val="266F2816"/>
    <w:rsid w:val="270D5361"/>
    <w:rsid w:val="285060C3"/>
    <w:rsid w:val="2BBE7D9C"/>
    <w:rsid w:val="2D0D2D89"/>
    <w:rsid w:val="2D5C57E6"/>
    <w:rsid w:val="2E976DAE"/>
    <w:rsid w:val="2F36421A"/>
    <w:rsid w:val="30746139"/>
    <w:rsid w:val="30C43E10"/>
    <w:rsid w:val="33987E0F"/>
    <w:rsid w:val="341F7474"/>
    <w:rsid w:val="35474A16"/>
    <w:rsid w:val="369479CD"/>
    <w:rsid w:val="36A937B7"/>
    <w:rsid w:val="3A5E6DD0"/>
    <w:rsid w:val="3CFC626D"/>
    <w:rsid w:val="3D874743"/>
    <w:rsid w:val="3FE526E4"/>
    <w:rsid w:val="419E1DAA"/>
    <w:rsid w:val="43D877F5"/>
    <w:rsid w:val="458A75D5"/>
    <w:rsid w:val="45FF400D"/>
    <w:rsid w:val="47AC29E5"/>
    <w:rsid w:val="47BB69FD"/>
    <w:rsid w:val="48883D63"/>
    <w:rsid w:val="4FA65FA3"/>
    <w:rsid w:val="517613AA"/>
    <w:rsid w:val="51EE28D9"/>
    <w:rsid w:val="521C4C36"/>
    <w:rsid w:val="55E262B1"/>
    <w:rsid w:val="572A405E"/>
    <w:rsid w:val="58B20309"/>
    <w:rsid w:val="591C326C"/>
    <w:rsid w:val="599F0134"/>
    <w:rsid w:val="5A9F306C"/>
    <w:rsid w:val="5B760CEF"/>
    <w:rsid w:val="5C2A2760"/>
    <w:rsid w:val="5E443270"/>
    <w:rsid w:val="5F182317"/>
    <w:rsid w:val="5FBF17F7"/>
    <w:rsid w:val="63F36C94"/>
    <w:rsid w:val="642A6742"/>
    <w:rsid w:val="646C3311"/>
    <w:rsid w:val="663D12E2"/>
    <w:rsid w:val="66750C0B"/>
    <w:rsid w:val="67941930"/>
    <w:rsid w:val="694E29D2"/>
    <w:rsid w:val="6B1B1032"/>
    <w:rsid w:val="6E5D7A5E"/>
    <w:rsid w:val="6ECC5944"/>
    <w:rsid w:val="6F97547E"/>
    <w:rsid w:val="6FF52174"/>
    <w:rsid w:val="70D90A72"/>
    <w:rsid w:val="70F26AFE"/>
    <w:rsid w:val="713003C1"/>
    <w:rsid w:val="71B20ACA"/>
    <w:rsid w:val="720A5044"/>
    <w:rsid w:val="73643DE1"/>
    <w:rsid w:val="755D70E7"/>
    <w:rsid w:val="7BE53E42"/>
    <w:rsid w:val="7C814485"/>
    <w:rsid w:val="7D3405CB"/>
    <w:rsid w:val="7DEF3127"/>
    <w:rsid w:val="7EE30820"/>
    <w:rsid w:val="7FBF208E"/>
    <w:rsid w:val="DB7D2176"/>
    <w:rsid w:val="FE7BD144"/>
    <w:rsid w:val="FF5F40B6"/>
    <w:rsid w:val="FFF64E38"/>
    <w:rsid w:val="FFF6F9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customStyle="1" w:styleId="2">
    <w:name w:val="BodyTextIndent2"/>
    <w:basedOn w:val="1"/>
    <w:qFormat/>
    <w:uiPriority w:val="0"/>
    <w:pPr>
      <w:tabs>
        <w:tab w:val="left" w:pos="420"/>
      </w:tabs>
      <w:spacing w:line="480" w:lineRule="auto"/>
      <w:ind w:left="420" w:leftChars="200"/>
      <w:jc w:val="both"/>
      <w:textAlignment w:val="baseline"/>
    </w:pPr>
  </w:style>
  <w:style w:type="paragraph" w:styleId="3">
    <w:name w:val="Normal Indent"/>
    <w:basedOn w:val="1"/>
    <w:qFormat/>
    <w:uiPriority w:val="0"/>
    <w:pPr>
      <w:ind w:firstLine="420" w:firstLineChars="200"/>
    </w:pPr>
    <w:rPr>
      <w:rFonts w:eastAsia="仿宋"/>
    </w:rPr>
  </w:style>
  <w:style w:type="paragraph" w:styleId="4">
    <w:name w:val="Body Text Indent"/>
    <w:basedOn w:val="1"/>
    <w:next w:val="3"/>
    <w:unhideWhenUsed/>
    <w:qFormat/>
    <w:uiPriority w:val="99"/>
    <w:pPr>
      <w:spacing w:line="510" w:lineRule="atLeast"/>
      <w:ind w:firstLine="482"/>
    </w:pPr>
    <w:rPr>
      <w:rFonts w:ascii="宋体"/>
      <w:sz w:val="28"/>
      <w:szCs w:val="20"/>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0"/>
    <w:pPr>
      <w:spacing w:beforeAutospacing="1" w:afterAutospacing="1"/>
      <w:jc w:val="left"/>
    </w:pPr>
    <w:rPr>
      <w:rFonts w:cs="Times New Roman"/>
      <w:kern w:val="0"/>
      <w:sz w:val="24"/>
    </w:rPr>
  </w:style>
  <w:style w:type="paragraph" w:styleId="8">
    <w:name w:val="Title"/>
    <w:basedOn w:val="1"/>
    <w:next w:val="1"/>
    <w:qFormat/>
    <w:uiPriority w:val="0"/>
    <w:pPr>
      <w:spacing w:before="240" w:after="60"/>
      <w:jc w:val="center"/>
      <w:outlineLvl w:val="0"/>
    </w:pPr>
    <w:rPr>
      <w:rFonts w:ascii="Arial" w:hAnsi="Arial"/>
      <w:b/>
    </w:rPr>
  </w:style>
  <w:style w:type="paragraph" w:styleId="9">
    <w:name w:val="Body Text First Indent 2"/>
    <w:basedOn w:val="4"/>
    <w:next w:val="1"/>
    <w:qFormat/>
    <w:uiPriority w:val="0"/>
    <w:pPr>
      <w:ind w:firstLine="420" w:firstLineChars="200"/>
    </w:pPr>
    <w:rPr>
      <w:rFonts w:ascii="Calibri" w:hAnsi="Calibri"/>
      <w:szCs w:val="24"/>
    </w:rPr>
  </w:style>
  <w:style w:type="table" w:styleId="11">
    <w:name w:val="Table Grid"/>
    <w:basedOn w:val="10"/>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page number"/>
    <w:basedOn w:val="12"/>
    <w:unhideWhenUsed/>
    <w:qFormat/>
    <w:uiPriority w:val="99"/>
  </w:style>
  <w:style w:type="paragraph" w:customStyle="1" w:styleId="14">
    <w:name w:val="No Spacing1"/>
    <w:qFormat/>
    <w:uiPriority w:val="99"/>
    <w:pPr>
      <w:widowControl w:val="0"/>
      <w:jc w:val="both"/>
    </w:pPr>
    <w:rPr>
      <w:rFonts w:ascii="Times New Roman" w:hAnsi="Times New Roman" w:eastAsia="宋体" w:cs="Times New Roman"/>
      <w:kern w:val="2"/>
      <w:sz w:val="32"/>
      <w:szCs w:val="32"/>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5026</Words>
  <Characters>5230</Characters>
  <Lines>0</Lines>
  <Paragraphs>0</Paragraphs>
  <TotalTime>1</TotalTime>
  <ScaleCrop>false</ScaleCrop>
  <LinksUpToDate>false</LinksUpToDate>
  <CharactersWithSpaces>5246</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2023-09-10T01:09:00Z</dcterms:created>
  <dc:creator>卡尔</dc:creator>
  <cp:lastModifiedBy>郑艺</cp:lastModifiedBy>
  <cp:lastPrinted>2024-07-03T17:21:00Z</cp:lastPrinted>
  <dcterms:modified xsi:type="dcterms:W3CDTF">2024-12-13T08:00:47Z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F42634C183DB46ECB9F0AD9E128937F2_13</vt:lpwstr>
  </property>
</Properties>
</file>